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F1834" w14:textId="31C914A4" w:rsidR="0032464E" w:rsidRDefault="0032464E" w:rsidP="00B0723B">
      <w:pPr>
        <w:tabs>
          <w:tab w:val="left" w:pos="2430"/>
        </w:tabs>
        <w:spacing w:line="480" w:lineRule="auto"/>
        <w:jc w:val="center"/>
        <w:rPr>
          <w:rFonts w:ascii="Times New Roman" w:hAnsi="Times New Roman" w:cs="Times New Roman"/>
          <w:b/>
          <w:bCs/>
          <w:sz w:val="24"/>
        </w:rPr>
      </w:pPr>
      <w:r w:rsidRPr="0032464E">
        <w:rPr>
          <w:rFonts w:ascii="Times New Roman" w:hAnsi="Times New Roman" w:cs="Times New Roman"/>
          <w:b/>
          <w:bCs/>
          <w:sz w:val="24"/>
        </w:rPr>
        <w:t>Scaling Prosperity: A Hierarchical Bayesian Map of Population Size and Global GDP Through 2100</w:t>
      </w:r>
    </w:p>
    <w:p w14:paraId="120324CE" w14:textId="77777777" w:rsidR="004627E2" w:rsidRDefault="004627E2" w:rsidP="00B0723B">
      <w:pPr>
        <w:tabs>
          <w:tab w:val="left" w:pos="2430"/>
        </w:tabs>
        <w:spacing w:line="480" w:lineRule="auto"/>
        <w:jc w:val="center"/>
        <w:rPr>
          <w:rFonts w:ascii="Times New Roman" w:hAnsi="Times New Roman" w:cs="Times New Roman"/>
          <w:b/>
          <w:bCs/>
          <w:sz w:val="24"/>
        </w:rPr>
      </w:pPr>
    </w:p>
    <w:p w14:paraId="037FD6DB" w14:textId="77777777" w:rsidR="004627E2" w:rsidRPr="00972DD0" w:rsidRDefault="004627E2" w:rsidP="004627E2">
      <w:pPr>
        <w:spacing w:line="480" w:lineRule="auto"/>
        <w:jc w:val="center"/>
        <w:rPr>
          <w:rFonts w:ascii="Times New Roman" w:hAnsi="Times New Roman" w:cs="Times New Roman"/>
          <w:sz w:val="24"/>
        </w:rPr>
      </w:pPr>
      <w:r w:rsidRPr="00972DD0">
        <w:rPr>
          <w:rFonts w:ascii="Times New Roman" w:hAnsi="Times New Roman" w:cs="Times New Roman"/>
          <w:b/>
          <w:bCs/>
          <w:sz w:val="24"/>
        </w:rPr>
        <w:t xml:space="preserve">Short Title: </w:t>
      </w:r>
      <w:r w:rsidRPr="00715DFA">
        <w:rPr>
          <w:rFonts w:ascii="Times New Roman" w:hAnsi="Times New Roman" w:cs="Times New Roman"/>
          <w:sz w:val="24"/>
        </w:rPr>
        <w:t>Population–GDP Association: Bayesian Global Forecast</w:t>
      </w:r>
    </w:p>
    <w:p w14:paraId="1479421B" w14:textId="77777777" w:rsidR="00B0723B" w:rsidRDefault="00B0723B" w:rsidP="00B0723B">
      <w:pPr>
        <w:spacing w:line="480" w:lineRule="auto"/>
        <w:rPr>
          <w:rFonts w:ascii="Times New Roman" w:hAnsi="Times New Roman" w:cs="Times New Roman"/>
          <w:sz w:val="24"/>
        </w:rPr>
      </w:pPr>
    </w:p>
    <w:p w14:paraId="1EF682C5" w14:textId="6948A075" w:rsidR="00B0723B" w:rsidRPr="00972DD0" w:rsidRDefault="00B0723B" w:rsidP="00B0723B">
      <w:pPr>
        <w:spacing w:line="480" w:lineRule="auto"/>
        <w:rPr>
          <w:rFonts w:ascii="Times New Roman" w:hAnsi="Times New Roman" w:cs="Times New Roman"/>
          <w:sz w:val="24"/>
        </w:rPr>
      </w:pPr>
      <w:r w:rsidRPr="00972DD0">
        <w:rPr>
          <w:rFonts w:ascii="Times New Roman" w:hAnsi="Times New Roman" w:cs="Times New Roman" w:hint="eastAsia"/>
          <w:sz w:val="24"/>
        </w:rPr>
        <w:t>T</w:t>
      </w:r>
      <w:r w:rsidRPr="00972DD0">
        <w:rPr>
          <w:rFonts w:ascii="Times New Roman" w:hAnsi="Times New Roman" w:cs="Times New Roman"/>
          <w:sz w:val="24"/>
        </w:rPr>
        <w:t>omoki Kawahara</w:t>
      </w:r>
      <w:r w:rsidR="00226D7C" w:rsidRPr="00226D7C">
        <w:rPr>
          <w:rFonts w:ascii="Times New Roman" w:hAnsi="Times New Roman" w:cs="Times New Roman"/>
          <w:sz w:val="24"/>
          <w:vertAlign w:val="superscript"/>
        </w:rPr>
        <w:t>1</w:t>
      </w:r>
      <w:r w:rsidRPr="00972DD0">
        <w:rPr>
          <w:rFonts w:ascii="Times New Roman" w:hAnsi="Times New Roman" w:cs="Times New Roman"/>
          <w:sz w:val="24"/>
        </w:rPr>
        <w:t>, MD</w:t>
      </w:r>
      <w:r w:rsidR="00715DFA">
        <w:rPr>
          <w:rFonts w:ascii="Times New Roman" w:hAnsi="Times New Roman" w:cs="Times New Roman"/>
          <w:sz w:val="24"/>
        </w:rPr>
        <w:t>, PhD</w:t>
      </w:r>
      <w:r w:rsidR="00226D7C">
        <w:rPr>
          <w:rFonts w:ascii="Times New Roman" w:hAnsi="Times New Roman" w:cs="Times New Roman"/>
          <w:sz w:val="24"/>
        </w:rPr>
        <w:t>, Shuhei Terada</w:t>
      </w:r>
      <w:r w:rsidR="00226D7C" w:rsidRPr="00226D7C">
        <w:rPr>
          <w:rFonts w:ascii="Times New Roman" w:hAnsi="Times New Roman" w:cs="Times New Roman"/>
          <w:sz w:val="24"/>
          <w:vertAlign w:val="superscript"/>
        </w:rPr>
        <w:t>2</w:t>
      </w:r>
      <w:r w:rsidR="00226D7C">
        <w:rPr>
          <w:rFonts w:ascii="Times New Roman" w:hAnsi="Times New Roman" w:cs="Times New Roman"/>
          <w:sz w:val="24"/>
        </w:rPr>
        <w:t>, MD, PhD</w:t>
      </w:r>
    </w:p>
    <w:p w14:paraId="72037B95" w14:textId="77777777" w:rsidR="00B0723B" w:rsidRPr="00972DD0" w:rsidRDefault="00B0723B" w:rsidP="00B0723B">
      <w:pPr>
        <w:spacing w:line="480" w:lineRule="auto"/>
        <w:rPr>
          <w:rFonts w:ascii="Times New Roman" w:hAnsi="Times New Roman" w:cs="Times New Roman"/>
          <w:sz w:val="24"/>
        </w:rPr>
      </w:pPr>
    </w:p>
    <w:p w14:paraId="0AA8EFEE" w14:textId="6B5AC61B" w:rsidR="00B0723B" w:rsidRPr="00972DD0" w:rsidRDefault="00B0723B" w:rsidP="00B0723B">
      <w:pPr>
        <w:spacing w:line="480" w:lineRule="auto"/>
        <w:rPr>
          <w:rFonts w:ascii="Times New Roman" w:hAnsi="Times New Roman" w:cs="Times New Roman"/>
          <w:sz w:val="24"/>
        </w:rPr>
      </w:pPr>
      <w:r w:rsidRPr="00972DD0">
        <w:rPr>
          <w:rFonts w:ascii="Times New Roman" w:hAnsi="Times New Roman" w:cs="Times New Roman" w:hint="eastAsia"/>
          <w:b/>
          <w:bCs/>
          <w:sz w:val="24"/>
        </w:rPr>
        <w:t>A</w:t>
      </w:r>
      <w:r w:rsidRPr="00972DD0">
        <w:rPr>
          <w:rFonts w:ascii="Times New Roman" w:hAnsi="Times New Roman" w:cs="Times New Roman"/>
          <w:b/>
          <w:bCs/>
          <w:sz w:val="24"/>
        </w:rPr>
        <w:t>ffiliations:</w:t>
      </w:r>
      <w:r w:rsidRPr="00972DD0">
        <w:rPr>
          <w:rFonts w:ascii="Times New Roman" w:hAnsi="Times New Roman" w:cs="Times New Roman"/>
          <w:sz w:val="24"/>
        </w:rPr>
        <w:t xml:space="preserve"> </w:t>
      </w:r>
      <w:r w:rsidR="00226D7C">
        <w:rPr>
          <w:rFonts w:ascii="Times New Roman" w:hAnsi="Times New Roman" w:cs="Times New Roman"/>
          <w:sz w:val="24"/>
        </w:rPr>
        <w:t xml:space="preserve">1: </w:t>
      </w:r>
      <w:r w:rsidRPr="00972DD0">
        <w:rPr>
          <w:rFonts w:ascii="Times New Roman" w:hAnsi="Times New Roman" w:cs="Times New Roman"/>
          <w:sz w:val="24"/>
        </w:rPr>
        <w:t xml:space="preserve">Department of </w:t>
      </w:r>
      <w:r>
        <w:rPr>
          <w:rFonts w:ascii="Times New Roman" w:hAnsi="Times New Roman" w:cs="Times New Roman"/>
          <w:sz w:val="24"/>
        </w:rPr>
        <w:t>Clinical Information Applied Sciences</w:t>
      </w:r>
      <w:r w:rsidRPr="00972DD0">
        <w:rPr>
          <w:rFonts w:ascii="Times New Roman" w:hAnsi="Times New Roman" w:cs="Times New Roman"/>
          <w:sz w:val="24"/>
        </w:rPr>
        <w:t xml:space="preserve">, </w:t>
      </w:r>
      <w:r>
        <w:rPr>
          <w:rFonts w:ascii="Times New Roman" w:hAnsi="Times New Roman" w:cs="Times New Roman"/>
          <w:sz w:val="24"/>
        </w:rPr>
        <w:t>Institute of Science Tokyo</w:t>
      </w:r>
      <w:r w:rsidRPr="00972DD0">
        <w:rPr>
          <w:rFonts w:ascii="Times New Roman" w:hAnsi="Times New Roman" w:cs="Times New Roman"/>
          <w:sz w:val="24"/>
        </w:rPr>
        <w:t>, Tokyo, Japan</w:t>
      </w:r>
      <w:r w:rsidR="00226D7C">
        <w:rPr>
          <w:rFonts w:ascii="Times New Roman" w:hAnsi="Times New Roman" w:cs="Times New Roman"/>
          <w:sz w:val="24"/>
        </w:rPr>
        <w:t xml:space="preserve">, 2: </w:t>
      </w:r>
      <w:r w:rsidR="00226D7C" w:rsidRPr="00972DD0">
        <w:rPr>
          <w:rFonts w:ascii="Times New Roman" w:hAnsi="Times New Roman" w:cs="Times New Roman"/>
          <w:sz w:val="24"/>
        </w:rPr>
        <w:t xml:space="preserve">Department of </w:t>
      </w:r>
      <w:r w:rsidR="00226D7C">
        <w:rPr>
          <w:rFonts w:ascii="Times New Roman" w:hAnsi="Times New Roman" w:cs="Times New Roman"/>
          <w:sz w:val="24"/>
        </w:rPr>
        <w:t>Public Health</w:t>
      </w:r>
      <w:r w:rsidR="00226D7C" w:rsidRPr="00972DD0">
        <w:rPr>
          <w:rFonts w:ascii="Times New Roman" w:hAnsi="Times New Roman" w:cs="Times New Roman"/>
          <w:sz w:val="24"/>
        </w:rPr>
        <w:t xml:space="preserve">, </w:t>
      </w:r>
      <w:r w:rsidR="00226D7C">
        <w:rPr>
          <w:rFonts w:ascii="Times New Roman" w:hAnsi="Times New Roman" w:cs="Times New Roman"/>
          <w:sz w:val="24"/>
        </w:rPr>
        <w:t>Institute of Science Tokyo</w:t>
      </w:r>
      <w:r w:rsidR="00226D7C" w:rsidRPr="00972DD0">
        <w:rPr>
          <w:rFonts w:ascii="Times New Roman" w:hAnsi="Times New Roman" w:cs="Times New Roman"/>
          <w:sz w:val="24"/>
        </w:rPr>
        <w:t>, Tokyo, Japan</w:t>
      </w:r>
    </w:p>
    <w:p w14:paraId="0E09270D" w14:textId="77777777" w:rsidR="00B0723B" w:rsidRPr="00226D7C" w:rsidRDefault="00B0723B" w:rsidP="00B0723B">
      <w:pPr>
        <w:spacing w:line="480" w:lineRule="auto"/>
        <w:rPr>
          <w:rFonts w:ascii="Times New Roman" w:hAnsi="Times New Roman" w:cs="Times New Roman"/>
          <w:sz w:val="24"/>
        </w:rPr>
      </w:pPr>
    </w:p>
    <w:p w14:paraId="102BC9EF" w14:textId="3C216512" w:rsidR="00B0723B" w:rsidRPr="00972DD0" w:rsidRDefault="00B0723B" w:rsidP="00B0723B">
      <w:pPr>
        <w:spacing w:line="480" w:lineRule="auto"/>
        <w:rPr>
          <w:rFonts w:ascii="Times New Roman" w:hAnsi="Times New Roman" w:cs="Times New Roman"/>
          <w:sz w:val="24"/>
        </w:rPr>
      </w:pPr>
      <w:r w:rsidRPr="00972DD0">
        <w:rPr>
          <w:rFonts w:ascii="Times New Roman" w:hAnsi="Times New Roman" w:cs="Times New Roman" w:hint="eastAsia"/>
          <w:b/>
          <w:bCs/>
          <w:sz w:val="24"/>
        </w:rPr>
        <w:t>K</w:t>
      </w:r>
      <w:r w:rsidRPr="00972DD0">
        <w:rPr>
          <w:rFonts w:ascii="Times New Roman" w:hAnsi="Times New Roman" w:cs="Times New Roman"/>
          <w:b/>
          <w:bCs/>
          <w:sz w:val="24"/>
        </w:rPr>
        <w:t xml:space="preserve">eywords: </w:t>
      </w:r>
      <w:r w:rsidR="00715DFA">
        <w:rPr>
          <w:rFonts w:ascii="Times New Roman" w:hAnsi="Times New Roman" w:cs="Times New Roman"/>
          <w:sz w:val="24"/>
        </w:rPr>
        <w:t>Association between population and GDP, Bayesian hierarchical modeling, Cross-variant economic forecasting, Demographic UN variants, Economic projections to 2100</w:t>
      </w:r>
    </w:p>
    <w:p w14:paraId="7AEE8FBE" w14:textId="77777777" w:rsidR="00B0723B" w:rsidRPr="00972DD0" w:rsidRDefault="00B0723B" w:rsidP="00B0723B">
      <w:pPr>
        <w:spacing w:line="480" w:lineRule="auto"/>
        <w:rPr>
          <w:rFonts w:ascii="Times New Roman" w:hAnsi="Times New Roman" w:cs="Times New Roman"/>
          <w:sz w:val="24"/>
        </w:rPr>
      </w:pPr>
    </w:p>
    <w:p w14:paraId="2D0D5586" w14:textId="080638E5" w:rsidR="00B0723B" w:rsidRPr="00972DD0" w:rsidRDefault="00B0723B" w:rsidP="00B0723B">
      <w:pPr>
        <w:spacing w:line="480" w:lineRule="auto"/>
        <w:rPr>
          <w:rFonts w:ascii="Times New Roman" w:hAnsi="Times New Roman" w:cs="Times New Roman"/>
          <w:sz w:val="24"/>
        </w:rPr>
      </w:pPr>
      <w:r w:rsidRPr="00972DD0">
        <w:rPr>
          <w:rFonts w:ascii="Times New Roman" w:hAnsi="Times New Roman" w:cs="Times New Roman" w:hint="eastAsia"/>
          <w:b/>
          <w:bCs/>
          <w:sz w:val="24"/>
        </w:rPr>
        <w:t>A</w:t>
      </w:r>
      <w:r w:rsidRPr="00972DD0">
        <w:rPr>
          <w:rFonts w:ascii="Times New Roman" w:hAnsi="Times New Roman" w:cs="Times New Roman"/>
          <w:b/>
          <w:bCs/>
          <w:sz w:val="24"/>
        </w:rPr>
        <w:t xml:space="preserve">bbreviations: </w:t>
      </w:r>
      <w:r w:rsidR="00715DFA">
        <w:rPr>
          <w:rFonts w:ascii="Times New Roman" w:hAnsi="Times New Roman" w:cs="Times New Roman"/>
          <w:sz w:val="24"/>
        </w:rPr>
        <w:t>GDP: Gross Domestic Product, UN: United Nations</w:t>
      </w:r>
    </w:p>
    <w:p w14:paraId="3878BB4C" w14:textId="77777777" w:rsidR="00B0723B" w:rsidRPr="00972DD0" w:rsidRDefault="00B0723B" w:rsidP="00B0723B">
      <w:pPr>
        <w:spacing w:line="480" w:lineRule="auto"/>
        <w:rPr>
          <w:rFonts w:ascii="Times New Roman" w:hAnsi="Times New Roman" w:cs="Times New Roman"/>
          <w:sz w:val="24"/>
        </w:rPr>
      </w:pPr>
    </w:p>
    <w:p w14:paraId="0AB61752" w14:textId="56B8C552" w:rsidR="00B0723B" w:rsidRPr="00972DD0" w:rsidRDefault="00B0723B" w:rsidP="00B0723B">
      <w:pPr>
        <w:spacing w:line="480" w:lineRule="auto"/>
        <w:rPr>
          <w:rFonts w:ascii="Times New Roman" w:eastAsia="Times New Roman" w:hAnsi="Times New Roman" w:cs="Times New Roman"/>
          <w:sz w:val="24"/>
        </w:rPr>
      </w:pPr>
      <w:r w:rsidRPr="00972DD0">
        <w:rPr>
          <w:rFonts w:ascii="Times New Roman" w:eastAsia="Times New Roman" w:hAnsi="Times New Roman" w:cs="Times New Roman"/>
          <w:b/>
          <w:sz w:val="24"/>
        </w:rPr>
        <w:t>Address Correspondence to:</w:t>
      </w:r>
      <w:r w:rsidRPr="00972DD0">
        <w:rPr>
          <w:rFonts w:ascii="Times New Roman" w:eastAsia="Times New Roman" w:hAnsi="Times New Roman" w:cs="Times New Roman"/>
          <w:sz w:val="24"/>
        </w:rPr>
        <w:t xml:space="preserve"> </w:t>
      </w:r>
      <w:r>
        <w:rPr>
          <w:rFonts w:ascii="Times New Roman" w:eastAsia="Times New Roman" w:hAnsi="Times New Roman" w:cs="Times New Roman"/>
          <w:sz w:val="24"/>
        </w:rPr>
        <w:t>Tomoki</w:t>
      </w:r>
      <w:r w:rsidRPr="00972DD0">
        <w:rPr>
          <w:rFonts w:ascii="Times New Roman" w:eastAsia="Times New Roman" w:hAnsi="Times New Roman" w:cs="Times New Roman"/>
          <w:sz w:val="24"/>
        </w:rPr>
        <w:t xml:space="preserve"> </w:t>
      </w:r>
      <w:r>
        <w:rPr>
          <w:rFonts w:ascii="Times New Roman" w:eastAsia="Times New Roman" w:hAnsi="Times New Roman" w:cs="Times New Roman"/>
          <w:sz w:val="24"/>
        </w:rPr>
        <w:t>Kawahara</w:t>
      </w:r>
      <w:r w:rsidRPr="00972DD0">
        <w:rPr>
          <w:rFonts w:ascii="Times New Roman" w:eastAsia="Times New Roman" w:hAnsi="Times New Roman" w:cs="Times New Roman"/>
          <w:sz w:val="24"/>
        </w:rPr>
        <w:t xml:space="preserve">, Department of </w:t>
      </w:r>
      <w:r>
        <w:rPr>
          <w:rFonts w:ascii="Times New Roman" w:eastAsia="Times New Roman" w:hAnsi="Times New Roman" w:cs="Times New Roman"/>
          <w:sz w:val="24"/>
        </w:rPr>
        <w:t xml:space="preserve">Clinical Information Applied Sciences, Institute of Science Tokyo, </w:t>
      </w:r>
      <w:r w:rsidRPr="00972DD0">
        <w:rPr>
          <w:rFonts w:ascii="Times New Roman" w:eastAsia="Times New Roman" w:hAnsi="Times New Roman" w:cs="Times New Roman"/>
          <w:sz w:val="24"/>
        </w:rPr>
        <w:t xml:space="preserve">1-5-45 </w:t>
      </w:r>
      <w:proofErr w:type="spellStart"/>
      <w:r w:rsidRPr="00972DD0">
        <w:rPr>
          <w:rFonts w:ascii="Times New Roman" w:eastAsia="Times New Roman" w:hAnsi="Times New Roman" w:cs="Times New Roman"/>
          <w:sz w:val="24"/>
        </w:rPr>
        <w:t>Yushima</w:t>
      </w:r>
      <w:proofErr w:type="spellEnd"/>
      <w:r w:rsidRPr="00972DD0">
        <w:rPr>
          <w:rFonts w:ascii="Times New Roman" w:eastAsia="Times New Roman" w:hAnsi="Times New Roman" w:cs="Times New Roman"/>
          <w:sz w:val="24"/>
        </w:rPr>
        <w:t>, Bunkyo-</w:t>
      </w:r>
      <w:proofErr w:type="spellStart"/>
      <w:r w:rsidRPr="00972DD0">
        <w:rPr>
          <w:rFonts w:ascii="Times New Roman" w:eastAsia="Times New Roman" w:hAnsi="Times New Roman" w:cs="Times New Roman"/>
          <w:sz w:val="24"/>
        </w:rPr>
        <w:t>ku</w:t>
      </w:r>
      <w:proofErr w:type="spellEnd"/>
      <w:r w:rsidRPr="00972DD0">
        <w:rPr>
          <w:rFonts w:ascii="Times New Roman" w:eastAsia="Times New Roman" w:hAnsi="Times New Roman" w:cs="Times New Roman"/>
          <w:sz w:val="24"/>
        </w:rPr>
        <w:t>, Tokyo 113-8510, Japan</w:t>
      </w:r>
    </w:p>
    <w:p w14:paraId="0A67E09C" w14:textId="77777777" w:rsidR="00B0723B" w:rsidRPr="00B0723B" w:rsidRDefault="00B0723B" w:rsidP="00B0723B">
      <w:pPr>
        <w:tabs>
          <w:tab w:val="left" w:pos="2430"/>
        </w:tabs>
        <w:spacing w:line="480" w:lineRule="auto"/>
        <w:rPr>
          <w:rFonts w:ascii="Times New Roman" w:hAnsi="Times New Roman" w:cs="Times New Roman"/>
          <w:sz w:val="24"/>
        </w:rPr>
      </w:pPr>
      <w:r w:rsidRPr="00B0723B">
        <w:rPr>
          <w:rFonts w:ascii="Times New Roman" w:hAnsi="Times New Roman" w:cs="Times New Roman"/>
          <w:sz w:val="24"/>
        </w:rPr>
        <w:t>Tel: +81-3-5803-5377</w:t>
      </w:r>
    </w:p>
    <w:p w14:paraId="4E207CB0" w14:textId="6C9EC502" w:rsidR="00B0723B" w:rsidRPr="00B0723B" w:rsidRDefault="00B0723B" w:rsidP="00B0723B">
      <w:pPr>
        <w:tabs>
          <w:tab w:val="left" w:pos="2430"/>
        </w:tabs>
        <w:spacing w:line="480" w:lineRule="auto"/>
        <w:rPr>
          <w:rFonts w:ascii="Times New Roman" w:hAnsi="Times New Roman" w:cs="Times New Roman"/>
          <w:sz w:val="24"/>
        </w:rPr>
      </w:pPr>
      <w:r w:rsidRPr="00B0723B">
        <w:rPr>
          <w:rFonts w:ascii="Times New Roman" w:hAnsi="Times New Roman" w:cs="Times New Roman"/>
          <w:sz w:val="24"/>
        </w:rPr>
        <w:t xml:space="preserve">E-mail: </w:t>
      </w:r>
      <w:hyperlink r:id="rId7" w:history="1">
        <w:r w:rsidRPr="00B0723B">
          <w:rPr>
            <w:rStyle w:val="ab"/>
            <w:rFonts w:ascii="Times New Roman" w:hAnsi="Times New Roman" w:cs="Times New Roman"/>
            <w:sz w:val="24"/>
          </w:rPr>
          <w:t>aaagcuugggcu@gmail.com</w:t>
        </w:r>
      </w:hyperlink>
    </w:p>
    <w:p w14:paraId="0399DF5D" w14:textId="4D901311" w:rsidR="00556A1D" w:rsidRPr="00B0723B" w:rsidRDefault="00B0723B" w:rsidP="00B0723B">
      <w:pPr>
        <w:tabs>
          <w:tab w:val="left" w:pos="2430"/>
        </w:tabs>
        <w:spacing w:line="480" w:lineRule="auto"/>
        <w:rPr>
          <w:rFonts w:ascii="Times New Roman" w:hAnsi="Times New Roman" w:cs="Times New Roman"/>
          <w:sz w:val="24"/>
        </w:rPr>
      </w:pPr>
      <w:r w:rsidRPr="00B0723B">
        <w:rPr>
          <w:rFonts w:ascii="Times New Roman" w:hAnsi="Times New Roman" w:cs="Times New Roman"/>
          <w:sz w:val="24"/>
        </w:rPr>
        <w:t xml:space="preserve">E-mail2: </w:t>
      </w:r>
      <w:hyperlink r:id="rId8" w:history="1">
        <w:r w:rsidRPr="00B0723B">
          <w:rPr>
            <w:rStyle w:val="ab"/>
            <w:rFonts w:ascii="Times New Roman" w:hAnsi="Times New Roman" w:cs="Times New Roman"/>
            <w:sz w:val="24"/>
          </w:rPr>
          <w:t>kawahara.hlth@tmd.ac.jp</w:t>
        </w:r>
      </w:hyperlink>
    </w:p>
    <w:p w14:paraId="1BEDF1FB" w14:textId="77777777" w:rsidR="00B0723B" w:rsidRDefault="00B0723B" w:rsidP="00B0723B">
      <w:pPr>
        <w:tabs>
          <w:tab w:val="left" w:pos="2430"/>
        </w:tabs>
        <w:spacing w:line="480" w:lineRule="auto"/>
        <w:rPr>
          <w:rFonts w:ascii="Times New Roman" w:hAnsi="Times New Roman" w:cs="Times New Roman"/>
          <w:b/>
          <w:bCs/>
          <w:sz w:val="24"/>
        </w:rPr>
        <w:sectPr w:rsidR="00B0723B" w:rsidSect="00D47997">
          <w:footerReference w:type="even" r:id="rId9"/>
          <w:footerReference w:type="default" r:id="rId10"/>
          <w:pgSz w:w="11906" w:h="16838"/>
          <w:pgMar w:top="1985" w:right="1701" w:bottom="1701" w:left="1701" w:header="851" w:footer="992" w:gutter="0"/>
          <w:lnNumType w:countBy="1" w:restart="continuous"/>
          <w:cols w:space="425"/>
          <w:docGrid w:type="lines" w:linePitch="360"/>
        </w:sectPr>
      </w:pPr>
    </w:p>
    <w:p w14:paraId="25BCA02B" w14:textId="123CC8F6" w:rsidR="00586A19" w:rsidRDefault="00586A19" w:rsidP="0032464E">
      <w:pPr>
        <w:tabs>
          <w:tab w:val="left" w:pos="2430"/>
        </w:tabs>
        <w:spacing w:line="480" w:lineRule="auto"/>
        <w:rPr>
          <w:rFonts w:ascii="Times New Roman" w:hAnsi="Times New Roman" w:cs="Times New Roman"/>
          <w:b/>
          <w:bCs/>
          <w:sz w:val="24"/>
        </w:rPr>
      </w:pPr>
      <w:r>
        <w:rPr>
          <w:rFonts w:ascii="Times New Roman" w:hAnsi="Times New Roman" w:cs="Times New Roman"/>
          <w:b/>
          <w:bCs/>
          <w:sz w:val="24"/>
        </w:rPr>
        <w:lastRenderedPageBreak/>
        <w:t>Abstract</w:t>
      </w:r>
    </w:p>
    <w:p w14:paraId="309A29A7" w14:textId="7580AFA7" w:rsidR="00586A19" w:rsidRPr="00586A19" w:rsidRDefault="00586A19" w:rsidP="00586A19">
      <w:pPr>
        <w:tabs>
          <w:tab w:val="left" w:pos="2430"/>
        </w:tabs>
        <w:spacing w:line="480" w:lineRule="auto"/>
        <w:rPr>
          <w:rFonts w:ascii="Times New Roman" w:hAnsi="Times New Roman" w:cs="Times New Roman"/>
          <w:sz w:val="24"/>
        </w:rPr>
      </w:pPr>
      <w:r w:rsidRPr="00512413">
        <w:rPr>
          <w:rFonts w:ascii="Times New Roman" w:hAnsi="Times New Roman" w:cs="Times New Roman"/>
          <w:b/>
          <w:bCs/>
          <w:sz w:val="24"/>
        </w:rPr>
        <w:t>Background:</w:t>
      </w:r>
      <w:r w:rsidRPr="00586A19">
        <w:rPr>
          <w:rFonts w:ascii="Times New Roman" w:hAnsi="Times New Roman" w:cs="Times New Roman"/>
          <w:sz w:val="24"/>
        </w:rPr>
        <w:t xml:space="preserve"> </w:t>
      </w:r>
      <w:r w:rsidR="00742AB7" w:rsidRPr="00742AB7">
        <w:rPr>
          <w:rFonts w:ascii="Times New Roman" w:hAnsi="Times New Roman" w:cs="Times New Roman"/>
          <w:sz w:val="24"/>
        </w:rPr>
        <w:t>Population size is an essential but contested driver of macroeconomic output; prior estimates of its association with gross domestic product (GDP) vary widely across regions and study designs. GDP is strongly associated with population health—spanning life expectancy, mortality, and health system capacity—so credible GDP trajectories are directly informative for public health planning. Robust, uncertainty-aware global projections linking demographic pathways to GDP remain limited.</w:t>
      </w:r>
    </w:p>
    <w:p w14:paraId="245E4156" w14:textId="5665D393" w:rsidR="00586A19" w:rsidRPr="00586A19" w:rsidRDefault="00586A19" w:rsidP="00586A19">
      <w:pPr>
        <w:tabs>
          <w:tab w:val="left" w:pos="2430"/>
        </w:tabs>
        <w:spacing w:line="480" w:lineRule="auto"/>
        <w:rPr>
          <w:rFonts w:ascii="Times New Roman" w:hAnsi="Times New Roman" w:cs="Times New Roman"/>
          <w:sz w:val="24"/>
        </w:rPr>
      </w:pPr>
      <w:r w:rsidRPr="00512413">
        <w:rPr>
          <w:rFonts w:ascii="Times New Roman" w:hAnsi="Times New Roman" w:cs="Times New Roman"/>
          <w:b/>
          <w:bCs/>
          <w:sz w:val="24"/>
        </w:rPr>
        <w:t>Methods:</w:t>
      </w:r>
      <w:r w:rsidRPr="00586A19">
        <w:rPr>
          <w:rFonts w:ascii="Times New Roman" w:hAnsi="Times New Roman" w:cs="Times New Roman"/>
          <w:sz w:val="24"/>
        </w:rPr>
        <w:t xml:space="preserve"> </w:t>
      </w:r>
      <w:r w:rsidR="00206C90" w:rsidRPr="00206C90">
        <w:rPr>
          <w:rFonts w:ascii="Times New Roman" w:hAnsi="Times New Roman" w:cs="Times New Roman"/>
          <w:sz w:val="24"/>
        </w:rPr>
        <w:t xml:space="preserve">We assembled panel data for 210 countries and territories (1960–2023) from the World Bank and fit a hierarchical Bayesian model with region- and country-level random effects. Centered log-population entered as a restricted cubic spline (natural spline with linear tails). Model adequacy was assessed with posterior predictive checks and out-of-sample information criteria. For forecasting (2024–2100), posterior draws were combined with eight United Nations World Population Prospects 2024 variants using an anchor-and-delta approach that fixes each country’s base-year GDP level and projects population-driven changes; training knots were reused, and light long-horizon regularization (post-2085 taper and plausibility envelopes) was applied to avoid implausible extrapolation. Variant medians were synthesized on the log scale with </w:t>
      </w:r>
      <w:r w:rsidR="00206C90" w:rsidRPr="00206C90">
        <w:rPr>
          <w:rFonts w:ascii="Times New Roman" w:hAnsi="Times New Roman" w:cs="Times New Roman"/>
          <w:sz w:val="24"/>
        </w:rPr>
        <w:lastRenderedPageBreak/>
        <w:t>random-effects pooling.</w:t>
      </w:r>
    </w:p>
    <w:p w14:paraId="2099CC7E" w14:textId="0F06400A" w:rsidR="00206C90" w:rsidRDefault="00586A19" w:rsidP="00586A19">
      <w:pPr>
        <w:tabs>
          <w:tab w:val="left" w:pos="2430"/>
        </w:tabs>
        <w:spacing w:line="480" w:lineRule="auto"/>
        <w:rPr>
          <w:rFonts w:ascii="Times New Roman" w:hAnsi="Times New Roman" w:cs="Times New Roman"/>
          <w:sz w:val="24"/>
        </w:rPr>
      </w:pPr>
      <w:r w:rsidRPr="00512413">
        <w:rPr>
          <w:rFonts w:ascii="Times New Roman" w:hAnsi="Times New Roman" w:cs="Times New Roman"/>
          <w:b/>
          <w:bCs/>
          <w:sz w:val="24"/>
        </w:rPr>
        <w:t>Results:</w:t>
      </w:r>
      <w:r w:rsidRPr="00586A19">
        <w:rPr>
          <w:rFonts w:ascii="Times New Roman" w:hAnsi="Times New Roman" w:cs="Times New Roman"/>
          <w:sz w:val="24"/>
        </w:rPr>
        <w:t xml:space="preserve"> </w:t>
      </w:r>
      <w:r w:rsidR="00206C90" w:rsidRPr="00206C90">
        <w:rPr>
          <w:rFonts w:ascii="Times New Roman" w:hAnsi="Times New Roman" w:cs="Times New Roman"/>
          <w:sz w:val="24"/>
        </w:rPr>
        <w:t xml:space="preserve">The association between centered log-population and log-GDP was positive with mild nonlinearity captured by the spline. Residual fit showed no material lack-of-fit (mean absolute error ≈ </w:t>
      </w:r>
      <w:r w:rsidR="002D5366">
        <w:rPr>
          <w:rFonts w:ascii="Times New Roman" w:hAnsi="Times New Roman" w:cs="Times New Roman"/>
          <w:sz w:val="24"/>
        </w:rPr>
        <w:t>0</w:t>
      </w:r>
      <w:r w:rsidR="00206C90" w:rsidRPr="00206C90">
        <w:rPr>
          <w:rFonts w:ascii="Times New Roman" w:hAnsi="Times New Roman" w:cs="Times New Roman"/>
          <w:sz w:val="24"/>
        </w:rPr>
        <w:t>.</w:t>
      </w:r>
      <w:r w:rsidR="00206C90">
        <w:rPr>
          <w:rFonts w:ascii="Times New Roman" w:hAnsi="Times New Roman" w:cs="Times New Roman"/>
          <w:sz w:val="24"/>
        </w:rPr>
        <w:t>1</w:t>
      </w:r>
      <w:r w:rsidR="002D5366">
        <w:rPr>
          <w:rFonts w:ascii="Times New Roman" w:hAnsi="Times New Roman" w:cs="Times New Roman"/>
          <w:sz w:val="24"/>
        </w:rPr>
        <w:t>2</w:t>
      </w:r>
      <w:r w:rsidR="00206C90" w:rsidRPr="00206C90">
        <w:rPr>
          <w:rFonts w:ascii="Times New Roman" w:hAnsi="Times New Roman" w:cs="Times New Roman"/>
          <w:sz w:val="24"/>
        </w:rPr>
        <w:t xml:space="preserve"> log units). Relative to a linear specification, the spline model showed comparable predictive performance (e.g., WAIC ΔELPD ≈ 6.4, SE 163.7). Scenario-pooled forecasts indicate world GDP will grow by </w:t>
      </w:r>
      <w:r w:rsidR="00206C90">
        <w:rPr>
          <w:rFonts w:ascii="Times New Roman" w:hAnsi="Times New Roman" w:cs="Times New Roman"/>
          <w:sz w:val="24"/>
        </w:rPr>
        <w:t>38</w:t>
      </w:r>
      <w:r w:rsidR="00206C90" w:rsidRPr="00206C90">
        <w:rPr>
          <w:rFonts w:ascii="Times New Roman" w:hAnsi="Times New Roman" w:cs="Times New Roman"/>
          <w:sz w:val="24"/>
        </w:rPr>
        <w:t xml:space="preserve"> % (95 % highest-density interval 3</w:t>
      </w:r>
      <w:r w:rsidR="00206C90">
        <w:rPr>
          <w:rFonts w:ascii="Times New Roman" w:hAnsi="Times New Roman" w:cs="Times New Roman"/>
          <w:sz w:val="24"/>
        </w:rPr>
        <w:t>5</w:t>
      </w:r>
      <w:r w:rsidR="00206C90" w:rsidRPr="00206C90">
        <w:rPr>
          <w:rFonts w:ascii="Times New Roman" w:hAnsi="Times New Roman" w:cs="Times New Roman"/>
          <w:sz w:val="24"/>
        </w:rPr>
        <w:t>–</w:t>
      </w:r>
      <w:r w:rsidR="00206C90">
        <w:rPr>
          <w:rFonts w:ascii="Times New Roman" w:hAnsi="Times New Roman" w:cs="Times New Roman"/>
          <w:sz w:val="24"/>
        </w:rPr>
        <w:t>40</w:t>
      </w:r>
      <w:r w:rsidR="00206C90" w:rsidRPr="00206C90">
        <w:rPr>
          <w:rFonts w:ascii="Times New Roman" w:hAnsi="Times New Roman" w:cs="Times New Roman"/>
          <w:sz w:val="24"/>
        </w:rPr>
        <w:t xml:space="preserve"> %) between 2025 and 2040, with the United States, China, and </w:t>
      </w:r>
      <w:r w:rsidR="00206C90">
        <w:rPr>
          <w:rFonts w:ascii="Times New Roman" w:hAnsi="Times New Roman" w:cs="Times New Roman"/>
          <w:sz w:val="24"/>
        </w:rPr>
        <w:t>the United Kingdom</w:t>
      </w:r>
      <w:r w:rsidR="00206C90" w:rsidRPr="00206C90">
        <w:rPr>
          <w:rFonts w:ascii="Times New Roman" w:hAnsi="Times New Roman" w:cs="Times New Roman"/>
          <w:sz w:val="24"/>
        </w:rPr>
        <w:t xml:space="preserve"> remaining the three largest economies in 2040. Between-variant heterogeneity accounted for roughly </w:t>
      </w:r>
      <w:r w:rsidR="00206C90">
        <w:rPr>
          <w:rFonts w:ascii="Times New Roman" w:hAnsi="Times New Roman" w:cs="Times New Roman"/>
          <w:sz w:val="24"/>
        </w:rPr>
        <w:t>38</w:t>
      </w:r>
      <w:r w:rsidR="00206C90" w:rsidRPr="00206C90">
        <w:rPr>
          <w:rFonts w:ascii="Times New Roman" w:hAnsi="Times New Roman" w:cs="Times New Roman"/>
          <w:sz w:val="24"/>
        </w:rPr>
        <w:t xml:space="preserve"> % of global forecast variance.</w:t>
      </w:r>
    </w:p>
    <w:p w14:paraId="40A1EBA2" w14:textId="5B384CF7" w:rsidR="00586A19" w:rsidRDefault="00586A19" w:rsidP="00586A19">
      <w:pPr>
        <w:tabs>
          <w:tab w:val="left" w:pos="2430"/>
        </w:tabs>
        <w:spacing w:line="480" w:lineRule="auto"/>
        <w:rPr>
          <w:rFonts w:ascii="Times New Roman" w:hAnsi="Times New Roman" w:cs="Times New Roman"/>
          <w:sz w:val="24"/>
        </w:rPr>
      </w:pPr>
      <w:r w:rsidRPr="006A1738">
        <w:rPr>
          <w:rFonts w:ascii="Times New Roman" w:hAnsi="Times New Roman" w:cs="Times New Roman"/>
          <w:b/>
          <w:bCs/>
          <w:sz w:val="24"/>
        </w:rPr>
        <w:t>Conclusions:</w:t>
      </w:r>
      <w:r w:rsidRPr="00586A19">
        <w:rPr>
          <w:rFonts w:ascii="Times New Roman" w:hAnsi="Times New Roman" w:cs="Times New Roman"/>
          <w:sz w:val="24"/>
        </w:rPr>
        <w:t xml:space="preserve"> </w:t>
      </w:r>
      <w:r w:rsidR="00206C90" w:rsidRPr="00206C90">
        <w:rPr>
          <w:rFonts w:ascii="Times New Roman" w:hAnsi="Times New Roman" w:cs="Times New Roman"/>
          <w:sz w:val="24"/>
        </w:rPr>
        <w:t>Population is positively associated with GDP across countries, with gains that taper and vary by region. A hierarchical Bayesian framework that combines splines, base-year anchoring, and scenario-wise pooling yields transparent, probabilistic GDP projections; estimates beyond 2050 are best interpreted as regularized envelopes rather than unconstrained forecasts.</w:t>
      </w:r>
    </w:p>
    <w:p w14:paraId="10456F7A" w14:textId="77777777" w:rsidR="00586A19" w:rsidRPr="00586A19" w:rsidRDefault="00586A19" w:rsidP="00586A19">
      <w:pPr>
        <w:tabs>
          <w:tab w:val="left" w:pos="2430"/>
        </w:tabs>
        <w:spacing w:line="480" w:lineRule="auto"/>
        <w:rPr>
          <w:rFonts w:ascii="Times New Roman" w:hAnsi="Times New Roman" w:cs="Times New Roman"/>
          <w:sz w:val="24"/>
        </w:rPr>
      </w:pPr>
    </w:p>
    <w:p w14:paraId="76595B7E" w14:textId="77777777" w:rsidR="00C9072D" w:rsidRDefault="00C9072D" w:rsidP="00EF063D">
      <w:pPr>
        <w:spacing w:line="480" w:lineRule="auto"/>
        <w:rPr>
          <w:rFonts w:ascii="Times New Roman" w:hAnsi="Times New Roman" w:cs="Times New Roman"/>
          <w:b/>
          <w:bCs/>
          <w:sz w:val="24"/>
        </w:rPr>
        <w:sectPr w:rsidR="00C9072D">
          <w:pgSz w:w="11906" w:h="16838"/>
          <w:pgMar w:top="1985" w:right="1701" w:bottom="1701" w:left="1701" w:header="851" w:footer="992" w:gutter="0"/>
          <w:cols w:space="425"/>
          <w:docGrid w:type="lines" w:linePitch="360"/>
        </w:sectPr>
      </w:pPr>
    </w:p>
    <w:p w14:paraId="0BF9DD5B" w14:textId="77777777" w:rsidR="00B77CA3" w:rsidRDefault="006C29C3" w:rsidP="00B77CA3">
      <w:pPr>
        <w:spacing w:line="480" w:lineRule="auto"/>
        <w:rPr>
          <w:rFonts w:ascii="Times New Roman" w:hAnsi="Times New Roman" w:cs="Times New Roman"/>
          <w:b/>
          <w:bCs/>
          <w:sz w:val="24"/>
        </w:rPr>
      </w:pPr>
      <w:r w:rsidRPr="006C29C3">
        <w:rPr>
          <w:rFonts w:ascii="Times New Roman" w:hAnsi="Times New Roman" w:cs="Times New Roman" w:hint="eastAsia"/>
          <w:b/>
          <w:bCs/>
          <w:sz w:val="24"/>
        </w:rPr>
        <w:lastRenderedPageBreak/>
        <w:t>Introduction</w:t>
      </w:r>
    </w:p>
    <w:p w14:paraId="6D6B7652" w14:textId="77777777" w:rsidR="005D470D" w:rsidRDefault="00D4004C" w:rsidP="005D470D">
      <w:pPr>
        <w:spacing w:line="480" w:lineRule="auto"/>
        <w:rPr>
          <w:rFonts w:ascii="Times New Roman" w:hAnsi="Times New Roman" w:cs="Times New Roman"/>
          <w:sz w:val="24"/>
        </w:rPr>
      </w:pPr>
      <w:r w:rsidRPr="00D4004C">
        <w:rPr>
          <w:rFonts w:ascii="Times New Roman" w:hAnsi="Times New Roman" w:cs="Times New Roman"/>
          <w:sz w:val="24"/>
        </w:rPr>
        <w:t>Population size can enlarge labor supply, deepen markets, and foster knowledge spillovers, while also risking capital dilution, congestion, and ecological constraints. These countervailing forces imply a non-constant elasticity of GDP with respect to population that varies by development stage, demographic structure, and institution</w:t>
      </w:r>
      <w:r w:rsidR="005F7ADD">
        <w:rPr>
          <w:rFonts w:ascii="Times New Roman" w:hAnsi="Times New Roman" w:cs="Times New Roman"/>
          <w:sz w:val="24"/>
        </w:rPr>
        <w:t xml:space="preserve"> </w:t>
      </w:r>
      <w:r w:rsidR="00226D7C">
        <w:rPr>
          <w:rFonts w:ascii="Times New Roman" w:hAnsi="Times New Roman" w:cs="Times New Roman"/>
          <w:sz w:val="24"/>
        </w:rPr>
        <w:fldChar w:fldCharType="begin">
          <w:fldData xml:space="preserve">PEVuZE5vdGU+PENpdGU+PEF1dGhvcj5CbG9vbTwvQXV0aG9yPjxZZWFyPjIwMDk8L1llYXI+PFJl
Y051bT45MzE8L1JlY051bT48SURUZXh0PkRlbW9ncmFwaGljIENoYW5nZSBhbmQgRWNvbm9taWMg
R3Jvd3RoIGluIEFzaWE8L0lEVGV4dD48RGlzcGxheVRleHQ+PHN0eWxlIGZhY2U9InN1cGVyc2Ny
aXB0Ij4xLDI8L3N0eWxlPjwvRGlzcGxheVRleHQ+PHJlY29yZD48cmVjLWd1aWQ+YWU2MzdhMzUt
NWQzYy00YjYwLWE2NzQtOWQzYzYxYjJmNzNmPC9yZWMtZ3VpZD48cmVjLW51bWJlcj45MzE8L3Jl
Yy1udW1iZXI+PGZvcmVpZ24ta2V5cz48a2V5IGFwcD0iRU4iIGRiLWlkPSIwNXg5YXhwenN6NXR3
YWV3NXMwNTAwdHI5MHp6ZmVweGV4dGUiIHRpbWVzdGFtcD0iMTc1MDc1MzAzMiIgZ3VpZD0iYWU2
MzdhMzUtNWQzYy00YjYwLWE2NzQtOWQzYzYxYjJmNzNmIj45MzE8L2tleT48L2ZvcmVpZ24ta2V5
cz48cmVmLXR5cGUgbmFtZT0iSm91cm5hbCBBcnRpY2xlIj4xNzwvcmVmLXR5cGU+PGNvbnRyaWJ1
dG9ycz48YXV0aG9ycz48YXV0aG9yPkJsb29tLCBEYXZpZCBFLjwvYXV0aG9yPjxhdXRob3I+Rmlu
bGF5LCBKb2NlbHluIEUuPC9hdXRob3I+PC9hdXRob3JzPjwvY29udHJpYnV0b3JzPjx0aXRsZXM+
PHRpdGxlPkRlbW9ncmFwaGljIENoYW5nZSBhbmQgRWNvbm9taWMgR3Jvd3RoIGluIEFzaWE8L3Rp
dGxlPjxzZWNvbmRhcnktdGl0bGU+QXNpYW4gRWNvbm9taWMgUG9saWN5IFJldmlldzwvc2Vjb25k
YXJ5LXRpdGxlPjwvdGl0bGVzPjxwZXJpb2RpY2FsPjxmdWxsLXRpdGxlPkFzaWFuIEVjb25vbWlj
IFBvbGljeSBSZXZpZXc8L2Z1bGwtdGl0bGU+PC9wZXJpb2RpY2FsPjxwYWdlcz40NS02NDwvcGFn
ZXM+PHZvbHVtZT40PC92b2x1bWU+PG51bWJlcj4xPC9udW1iZXI+PHNlY3Rpb24+NDU8L3NlY3Rp
b24+PGRhdGVzPjx5ZWFyPjIwMDk8L3llYXI+PC9kYXRlcz48aXNibj4xODMyLTgxMDUmI3hEOzE3
NDgtMzEzMTwvaXNibj48ZWxlY3Ryb25pYy1yZXNvdXJjZS1udW0+MTAuMTExMS9qLjE3NDgtMzEz
MS4yMDA5LjAxMTA2Lng8L2VsZWN0cm9uaWMtcmVzb3VyY2UtbnVtPjwvcmVjb3JkPjwvQ2l0ZT48
Q2l0ZT48QXV0aG9yPkxlZTwvQXV0aG9yPjxZZWFyPjIwMTA8L1llYXI+PFJlY051bT45MzI8L1Jl
Y051bT48SURUZXh0PlNvbWUgbWFjcm9lY29ub21pYyBhc3BlY3RzIG9mIGdsb2JhbCBwb3B1bGF0
aW9uIGFnaW5nPC9JRFRleHQ+PHJlY29yZD48cmVjLWd1aWQ+ZDlhYmExMmYtMjg1My00ZWJlLThh
N2QtYWNjNTliNDAzODhjPC9yZWMtZ3VpZD48cmVjLW51bWJlcj45MzI8L3JlYy1udW1iZXI+PGZv
cmVpZ24ta2V5cz48a2V5IGFwcD0iRU4iIGRiLWlkPSIwNXg5YXhwenN6NXR3YWV3NXMwNTAwdHI5
MHp6ZmVweGV4dGUiIHRpbWVzdGFtcD0iMTc1MDc1MzA2OSIgZ3VpZD0iZDlhYmExMmYtMjg1My00
ZWJlLThhN2QtYWNjNTliNDAzODhjIj45MzI8L2tleT48L2ZvcmVpZ24ta2V5cz48cmVmLXR5cGUg
bmFtZT0iSm91cm5hbCBBcnRpY2xlIj4xNzwvcmVmLXR5cGU+PGNvbnRyaWJ1dG9ycz48YXV0aG9y
cz48YXV0aG9yPkxlZSwgUm9uYWxkPC9hdXRob3I+PGF1dGhvcj5NYXNvbiwgQW5kcmV3PC9hdXRo
b3I+PC9hdXRob3JzPjwvY29udHJpYnV0b3JzPjx0aXRsZXM+PHRpdGxlPlNvbWUgbWFjcm9lY29u
b21pYyBhc3BlY3RzIG9mIGdsb2JhbCBwb3B1bGF0aW9uIGFnaW5nPC90aXRsZT48c2Vjb25kYXJ5
LXRpdGxlPkRlbW9ncmFwaHk8L3NlY29uZGFyeS10aXRsZT48L3RpdGxlcz48cGVyaW9kaWNhbD48
ZnVsbC10aXRsZT5EZW1vZ3JhcGh5PC9mdWxsLXRpdGxlPjwvcGVyaW9kaWNhbD48cGFnZXM+UzE1
MS1TMTcyPC9wYWdlcz48dm9sdW1lPjQ3PC92b2x1bWU+PG51bWJlcj5TdXBwbCAxPC9udW1iZXI+
PHNlY3Rpb24+UzE1MTwvc2VjdGlvbj48ZGF0ZXM+PHllYXI+MjAxMDwveWVhcj48L2RhdGVzPjxp
c2JuPjAwNzAtMzM3MCYjeEQ7MTUzMy03NzkwPC9pc2JuPjxlbGVjdHJvbmljLXJlc291cmNlLW51
bT4xMC4xMzUzL2RlbS4yMDEwLjAwMDI8L2VsZWN0cm9uaWMtcmVzb3VyY2UtbnVtPjwvcmVjb3Jk
PjwvQ2l0ZT48L0VuZE5vdGU+
</w:fldData>
        </w:fldChar>
      </w:r>
      <w:r w:rsidR="00226D7C">
        <w:rPr>
          <w:rFonts w:ascii="Times New Roman" w:hAnsi="Times New Roman" w:cs="Times New Roman"/>
          <w:sz w:val="24"/>
        </w:rPr>
        <w:instrText xml:space="preserve"> ADDIN EN.JS.CITE </w:instrText>
      </w:r>
      <w:r w:rsidR="00226D7C">
        <w:rPr>
          <w:rFonts w:ascii="Times New Roman" w:hAnsi="Times New Roman" w:cs="Times New Roman"/>
          <w:sz w:val="24"/>
        </w:rPr>
      </w:r>
      <w:r w:rsidR="00226D7C">
        <w:rPr>
          <w:rFonts w:ascii="Times New Roman" w:hAnsi="Times New Roman" w:cs="Times New Roman"/>
          <w:sz w:val="24"/>
        </w:rPr>
        <w:fldChar w:fldCharType="separate"/>
      </w:r>
      <w:r w:rsidR="00226D7C" w:rsidRPr="00226D7C">
        <w:rPr>
          <w:rFonts w:ascii="Times New Roman" w:hAnsi="Times New Roman" w:cs="Times New Roman"/>
          <w:noProof/>
          <w:sz w:val="24"/>
          <w:vertAlign w:val="superscript"/>
        </w:rPr>
        <w:t>1,2</w:t>
      </w:r>
      <w:r w:rsidR="00226D7C">
        <w:rPr>
          <w:rFonts w:ascii="Times New Roman" w:hAnsi="Times New Roman" w:cs="Times New Roman"/>
          <w:sz w:val="24"/>
        </w:rPr>
        <w:fldChar w:fldCharType="end"/>
      </w:r>
      <w:r w:rsidR="005F7ADD" w:rsidRPr="005F7ADD">
        <w:rPr>
          <w:rFonts w:ascii="Times New Roman" w:hAnsi="Times New Roman" w:cs="Times New Roman"/>
          <w:sz w:val="24"/>
        </w:rPr>
        <w:t>.</w:t>
      </w:r>
      <w:r>
        <w:rPr>
          <w:rFonts w:ascii="Times New Roman" w:hAnsi="Times New Roman" w:cs="Times New Roman"/>
          <w:sz w:val="24"/>
        </w:rPr>
        <w:t xml:space="preserve"> </w:t>
      </w:r>
      <w:r w:rsidR="005D470D" w:rsidRPr="005D470D">
        <w:rPr>
          <w:rFonts w:ascii="Times New Roman" w:hAnsi="Times New Roman" w:cs="Times New Roman"/>
          <w:sz w:val="24"/>
        </w:rPr>
        <w:t>Because GDP is strongly associated with population health—via fiscal space, health-system capacity, and macro-determinants of mortality—these GDP envelopes translate directly into planning bandwidths for ministries of health (e.g., feasible trajectories for public health expenditure or service coverage)</w:t>
      </w:r>
      <w:r w:rsidR="005D470D" w:rsidRPr="005D470D">
        <w:rPr>
          <w:rFonts w:ascii="Times New Roman" w:hAnsi="Times New Roman" w:cs="Times New Roman"/>
          <w:b/>
          <w:bCs/>
          <w:sz w:val="24"/>
        </w:rPr>
        <w:t xml:space="preserve"> [REF Preston; REF fiscal-space]</w:t>
      </w:r>
      <w:r w:rsidR="005D470D" w:rsidRPr="005D470D">
        <w:rPr>
          <w:rFonts w:ascii="Times New Roman" w:hAnsi="Times New Roman" w:cs="Times New Roman"/>
          <w:sz w:val="24"/>
        </w:rPr>
        <w:t>.</w:t>
      </w:r>
    </w:p>
    <w:p w14:paraId="3DA458E1" w14:textId="4EA7297D" w:rsidR="00D4004C" w:rsidRDefault="005D470D" w:rsidP="005D470D">
      <w:pPr>
        <w:spacing w:line="480" w:lineRule="auto"/>
        <w:rPr>
          <w:rFonts w:ascii="Times New Roman" w:hAnsi="Times New Roman" w:cs="Times New Roman"/>
          <w:sz w:val="24"/>
        </w:rPr>
      </w:pPr>
      <w:r>
        <w:rPr>
          <w:rFonts w:ascii="Times New Roman" w:hAnsi="Times New Roman" w:cs="Times New Roman"/>
          <w:sz w:val="24"/>
        </w:rPr>
        <w:tab/>
      </w:r>
      <w:r w:rsidR="00D4004C" w:rsidRPr="00D4004C">
        <w:rPr>
          <w:rFonts w:ascii="Times New Roman" w:hAnsi="Times New Roman" w:cs="Times New Roman"/>
          <w:sz w:val="24"/>
        </w:rPr>
        <w:t>Cross-sectional and panel studies report positive, null, and negative associations between population indicators and economic output, with estimates sensitive to model specification and endogeneity controls</w:t>
      </w:r>
      <w:r w:rsidR="005F7ADD">
        <w:rPr>
          <w:rFonts w:ascii="Times New Roman" w:hAnsi="Times New Roman" w:cs="Times New Roman"/>
          <w:sz w:val="24"/>
        </w:rPr>
        <w:t xml:space="preserve"> </w:t>
      </w:r>
      <w:r w:rsidR="00226D7C">
        <w:rPr>
          <w:rFonts w:ascii="Times New Roman" w:hAnsi="Times New Roman" w:cs="Times New Roman"/>
          <w:sz w:val="24"/>
        </w:rPr>
        <w:fldChar w:fldCharType="begin">
          <w:fldData xml:space="preserve">PEVuZE5vdGU+PENpdGU+PEF1dGhvcj5LZWxsZXk8L0F1dGhvcj48WWVhcj4xOTk1PC9ZZWFyPjxS
ZWNOdW0+OTMzPC9SZWNOdW0+PElEVGV4dD5BZ2dyZWdhdGUgUG9wdWxhdGlvbiBhbmQgRWNvbm9t
aWMgR3Jvd3RoIENvcnJlbGF0aW9uczogVGhlIFJvbGUgb2YgdGhlIENvbXBvbmVudHMgb2YgRGVt
b2dyYXBoaWMgQ2hhbmdlPC9JRFRleHQ+PERpc3BsYXlUZXh0PjxzdHlsZSBmYWNlPSJzdXBlcnNj
cmlwdCI+Myw0PC9zdHlsZT48L0Rpc3BsYXlUZXh0PjxyZWNvcmQ+PHJlYy1ndWlkPjM5NDc3YmQ3
LTdhNTctNGI5Yy1hZDhmLTdiMGQxODYwM2IxYzwvcmVjLWd1aWQ+PHJlYy1udW1iZXI+OTMzPC9y
ZWMtbnVtYmVyPjxmb3JlaWduLWtleXM+PGtleSBhcHA9IkVOIiBkYi1pZD0iMDV4OWF4cHpzejV0
d2FldzVzMDUwMHRyOTB6emZlcHhleHRlIiB0aW1lc3RhbXA9IjE3NTA3NTMxMTYiIGd1aWQ9IjM5
NDc3YmQ3LTdhNTctNGI5Yy1hZDhmLTdiMGQxODYwM2IxYyI+OTMzPC9rZXk+PC9mb3JlaWduLWtl
eXM+PHJlZi10eXBlIG5hbWU9IkpvdXJuYWwgQXJ0aWNsZSI+MTc8L3JlZi10eXBlPjxjb250cmli
dXRvcnM+PGF1dGhvcnM+PGF1dGhvcj5LZWxsZXksIEFsbGVuIEMuPC9hdXRob3I+PGF1dGhvcj5T
Y2htaWR0LCBSb2JlcnQgTS48L2F1dGhvcj48L2F1dGhvcnM+PC9jb250cmlidXRvcnM+PHRpdGxl
cz48dGl0bGU+QWdncmVnYXRlIFBvcHVsYXRpb24gYW5kIEVjb25vbWljIEdyb3d0aCBDb3JyZWxh
dGlvbnM6IFRoZSBSb2xlIG9mIHRoZSBDb21wb25lbnRzIG9mIERlbW9ncmFwaGljIENoYW5nZTwv
dGl0bGU+PHNlY29uZGFyeS10aXRsZT5EZW1vZ3JhcGh5PC9zZWNvbmRhcnktdGl0bGU+PC90aXRs
ZXM+PHBlcmlvZGljYWw+PGZ1bGwtdGl0bGU+RGVtb2dyYXBoeTwvZnVsbC10aXRsZT48L3Blcmlv
ZGljYWw+PHBhZ2VzPjU0My01NTU8L3BhZ2VzPjx2b2x1bWU+MzI8L3ZvbHVtZT48bnVtYmVyPjQ8
L251bWJlcj48c2VjdGlvbj41NDM8L3NlY3Rpb24+PGRhdGVzPjx5ZWFyPjE5OTU8L3llYXI+PC9k
YXRlcz48aXNibj4wMDcwLTMzNzAmI3hEOzE1MzMtNzc5MDwvaXNibj48ZWxlY3Ryb25pYy1yZXNv
dXJjZS1udW0+MTAuMjMwNy8yMDYxNjc0PC9lbGVjdHJvbmljLXJlc291cmNlLW51bT48L3JlY29y
ZD48L0NpdGU+PENpdGU+PEF1dGhvcj5IZWFkZXk8L0F1dGhvcj48WWVhcj4yMDA5PC9ZZWFyPjxS
ZWNOdW0+MDwvUmVjTnVtPjxJRFRleHQ+VGhlIEVmZmVjdCBvZiBQb3B1bGF0aW9uIEdyb3d0aCBv
biBFY29ub21pYyBHcm93dGg6IEEgTWV0YeKAkFJlZ3Jlc3Npb24gQW5hbHlzaXMgb2YgdGhlIE1h
Y3JvZWNvbm9taWMgTGl0ZXJhdHVyZTwvSURUZXh0PjxyZWNvcmQ+PHJlYy1udW1iZXI+PC9yZWMt
bnVtYmVyPjxyZWYtdHlwZSBuYW1lPSJKb3VybmFsIEFydGljbGUiPjE3PC9yZWYtdHlwZT48Y29u
dHJpYnV0b3JzPjxhdXRob3JzPjxhdXRob3I+SGVhZGV5LCBEZXJlayBELjwvYXV0aG9yPjxhdXRo
b3I+SG9kZ2UsIEFuZHJldzwvYXV0aG9yPjwvYXV0aG9ycz48L2NvbnRyaWJ1dG9ycz48dGl0bGVz
Pjx0aXRsZT5UaGUgRWZmZWN0IG9mIFBvcHVsYXRpb24gR3Jvd3RoIG9uIEVjb25vbWljIEdyb3d0
aDogQSBNZXRh4oCQUmVncmVzc2lvbiBBbmFseXNpcyBvZiB0aGUgTWFjcm9lY29ub21pYyBMaXRl
cmF0dXJlPC90aXRsZT48c2Vjb25kYXJ5LXRpdGxlPlBvcHVsYXRpb24gYW5kIERldmVsb3BtZW50
IFJldmlldzwvc2Vjb25kYXJ5LXRpdGxlPjwvdGl0bGVzPjxwYWdlcz4yMjEtMjQ4PC9wYWdlcz48
dm9sdW1lPjM1PC92b2x1bWU+PG51bWJlcj4yPC9udW1iZXI+PHNlY3Rpb24+MjIxPC9zZWN0aW9u
PjxkYXRlcz48eWVhcj4yMDA5PC95ZWFyPjwvZGF0ZXM+PGlzYm4+MDA5OC03OTIxJiN4RDsxNzI4
LTQ0NTc8L2lzYm4+PGVsZWN0cm9uaWMtcmVzb3VyY2UtbnVtPjEwLjExMTEvai4xNzI4LTQ0NTcu
MjAwOS4wMDI3NC54PC9lbGVjdHJvbmljLXJlc291cmNlLW51bT48L3JlY29yZD48L0NpdGU+PC9F
bmROb3RlPn==
</w:fldData>
        </w:fldChar>
      </w:r>
      <w:r w:rsidR="00226D7C">
        <w:rPr>
          <w:rFonts w:ascii="Times New Roman" w:hAnsi="Times New Roman" w:cs="Times New Roman"/>
          <w:sz w:val="24"/>
        </w:rPr>
        <w:instrText xml:space="preserve"> ADDIN EN.JS.CITE </w:instrText>
      </w:r>
      <w:r w:rsidR="00226D7C">
        <w:rPr>
          <w:rFonts w:ascii="Times New Roman" w:hAnsi="Times New Roman" w:cs="Times New Roman"/>
          <w:sz w:val="24"/>
        </w:rPr>
      </w:r>
      <w:r w:rsidR="00226D7C">
        <w:rPr>
          <w:rFonts w:ascii="Times New Roman" w:hAnsi="Times New Roman" w:cs="Times New Roman"/>
          <w:sz w:val="24"/>
        </w:rPr>
        <w:fldChar w:fldCharType="separate"/>
      </w:r>
      <w:r w:rsidR="00226D7C" w:rsidRPr="00226D7C">
        <w:rPr>
          <w:rFonts w:ascii="Times New Roman" w:hAnsi="Times New Roman" w:cs="Times New Roman"/>
          <w:noProof/>
          <w:sz w:val="24"/>
          <w:vertAlign w:val="superscript"/>
        </w:rPr>
        <w:t>3,4</w:t>
      </w:r>
      <w:r w:rsidR="00226D7C">
        <w:rPr>
          <w:rFonts w:ascii="Times New Roman" w:hAnsi="Times New Roman" w:cs="Times New Roman"/>
          <w:sz w:val="24"/>
        </w:rPr>
        <w:fldChar w:fldCharType="end"/>
      </w:r>
      <w:r w:rsidR="005F7ADD">
        <w:rPr>
          <w:rFonts w:ascii="Times New Roman" w:hAnsi="Times New Roman" w:cs="Times New Roman"/>
          <w:sz w:val="24"/>
        </w:rPr>
        <w:t xml:space="preserve">. </w:t>
      </w:r>
      <w:r w:rsidR="00D4004C" w:rsidRPr="00D4004C">
        <w:rPr>
          <w:rFonts w:ascii="Times New Roman" w:hAnsi="Times New Roman" w:cs="Times New Roman"/>
          <w:sz w:val="24"/>
        </w:rPr>
        <w:t>Demographic-dividend frameworks stress age structure and institutions</w:t>
      </w:r>
      <w:r w:rsidR="00D4004C">
        <w:rPr>
          <w:rFonts w:ascii="Times New Roman" w:hAnsi="Times New Roman" w:cs="Times New Roman"/>
          <w:sz w:val="24"/>
        </w:rPr>
        <w:t xml:space="preserve"> </w:t>
      </w:r>
      <w:r w:rsidR="00226D7C">
        <w:rPr>
          <w:rFonts w:ascii="Times New Roman" w:hAnsi="Times New Roman" w:cs="Times New Roman"/>
          <w:sz w:val="24"/>
        </w:rPr>
        <w:fldChar w:fldCharType="begin">
          <w:fldData xml:space="preserve">PEVuZE5vdGU+PENpdGU+PEF1dGhvcj5CbG9vbTwvQXV0aG9yPjxZZWFyPjIwMDk8L1llYXI+PFJl
Y051bT45MzE8L1JlY051bT48RGlzcGxheVRleHQ+PHN0eWxlIGZhY2U9InN1cGVyc2NyaXB0Ij4x
LDI8L3N0eWxlPjwvRGlzcGxheVRleHQ+PHJlY29yZD48cmVjLWd1aWQ+YWU2MzdhMzUtNWQzYy00
YjYwLWE2NzQtOWQzYzYxYjJmNzNmPC9yZWMtZ3VpZD48cmVjLW51bWJlcj45MzE8L3JlYy1udW1i
ZXI+PGZvcmVpZ24ta2V5cz48a2V5IGFwcD0iRU4iIGRiLWlkPSIwNXg5YXhwenN6NXR3YWV3NXMw
NTAwdHI5MHp6ZmVweGV4dGUiIHRpbWVzdGFtcD0iMTc1MDc1MzAzMiIgZ3VpZD0iYWU2MzdhMzUt
NWQzYy00YjYwLWE2NzQtOWQzYzYxYjJmNzNmIj45MzE8L2tleT48L2ZvcmVpZ24ta2V5cz48cmVm
LXR5cGUgbmFtZT0iSm91cm5hbCBBcnRpY2xlIj4xNzwvcmVmLXR5cGU+PGNvbnRyaWJ1dG9ycz48
YXV0aG9ycz48YXV0aG9yPkJsb29tLCBEYXZpZCBFLjwvYXV0aG9yPjxhdXRob3I+RmlubGF5LCBK
b2NlbHluIEUuPC9hdXRob3I+PC9hdXRob3JzPjwvY29udHJpYnV0b3JzPjx0aXRsZXM+PHRpdGxl
PkRlbW9ncmFwaGljIENoYW5nZSBhbmQgRWNvbm9taWMgR3Jvd3RoIGluIEFzaWE8L3RpdGxlPjxz
ZWNvbmRhcnktdGl0bGU+QXNpYW4gRWNvbm9taWMgUG9saWN5IFJldmlldzwvc2Vjb25kYXJ5LXRp
dGxlPjwvdGl0bGVzPjxwZXJpb2RpY2FsPjxmdWxsLXRpdGxlPkFzaWFuIEVjb25vbWljIFBvbGlj
eSBSZXZpZXc8L2Z1bGwtdGl0bGU+PC9wZXJpb2RpY2FsPjxwYWdlcz40NS02NDwvcGFnZXM+PHZv
bHVtZT40PC92b2x1bWU+PG51bWJlcj4xPC9udW1iZXI+PHNlY3Rpb24+NDU8L3NlY3Rpb24+PGRh
dGVzPjx5ZWFyPjIwMDk8L3llYXI+PC9kYXRlcz48aXNibj4xODMyLTgxMDUmI3hEOzE3NDgtMzEz
MTwvaXNibj48ZWxlY3Ryb25pYy1yZXNvdXJjZS1udW0+MTAuMTExMS9qLjE3NDgtMzEzMS4yMDA5
LjAxMTA2Lng8L2VsZWN0cm9uaWMtcmVzb3VyY2UtbnVtPjwvcmVjb3JkPjwvQ2l0ZT48Q2l0ZT48
QXV0aG9yPkxlZTwvQXV0aG9yPjxZZWFyPjIwMTA8L1llYXI+PFJlY051bT45MzI8L1JlY051bT48
cmVjb3JkPjxyZWMtZ3VpZD5kOWFiYTEyZi0yODUzLTRlYmUtOGE3ZC1hY2M1OWI0MDM4OGM8L3Jl
Yy1ndWlkPjxyZWMtbnVtYmVyPjkzMjwvcmVjLW51bWJlcj48Zm9yZWlnbi1rZXlzPjxrZXkgYXBw
PSJFTiIgZGItaWQ9IjA1eDlheHB6c3o1dHdhZXc1czA1MDB0cjkwenpmZXB4ZXh0ZSIgdGltZXN0
YW1wPSIxNzUwNzUzMDY5IiBndWlkPSJkOWFiYTEyZi0yODUzLTRlYmUtOGE3ZC1hY2M1OWI0MDM4
OGMiPjkzMjwva2V5PjwvZm9yZWlnbi1rZXlzPjxyZWYtdHlwZSBuYW1lPSJKb3VybmFsIEFydGlj
bGUiPjE3PC9yZWYtdHlwZT48Y29udHJpYnV0b3JzPjxhdXRob3JzPjxhdXRob3I+TGVlLCBSb25h
bGQ8L2F1dGhvcj48YXV0aG9yPk1hc29uLCBBbmRyZXc8L2F1dGhvcj48L2F1dGhvcnM+PC9jb250
cmlidXRvcnM+PHRpdGxlcz48dGl0bGU+U29tZSBtYWNyb2Vjb25vbWljIGFzcGVjdHMgb2YgZ2xv
YmFsIHBvcHVsYXRpb24gYWdpbmc8L3RpdGxlPjxzZWNvbmRhcnktdGl0bGU+RGVtb2dyYXBoeTwv
c2Vjb25kYXJ5LXRpdGxlPjwvdGl0bGVzPjxwZXJpb2RpY2FsPjxmdWxsLXRpdGxlPkRlbW9ncmFw
aHk8L2Z1bGwtdGl0bGU+PC9wZXJpb2RpY2FsPjxwYWdlcz5TMTUxLVMxNzI8L3BhZ2VzPjx2b2x1
bWU+NDc8L3ZvbHVtZT48bnVtYmVyPlN1cHBsIDE8L251bWJlcj48c2VjdGlvbj5TMTUxPC9zZWN0
aW9uPjxkYXRlcz48eWVhcj4yMDEwPC95ZWFyPjwvZGF0ZXM+PGlzYm4+MDA3MC0zMzcwJiN4RDsx
NTMzLTc3OTA8L2lzYm4+PGVsZWN0cm9uaWMtcmVzb3VyY2UtbnVtPjEwLjEzNTMvZGVtLjIwMTAu
MDAwMjwvZWxlY3Ryb25pYy1yZXNvdXJjZS1udW0+PC9yZWNvcmQ+PC9DaXRlPjwvRW5kTm90ZT4A
</w:fldData>
        </w:fldChar>
      </w:r>
      <w:r w:rsidR="00226D7C">
        <w:rPr>
          <w:rFonts w:ascii="Times New Roman" w:hAnsi="Times New Roman" w:cs="Times New Roman"/>
          <w:sz w:val="24"/>
        </w:rPr>
        <w:instrText xml:space="preserve"> ADDIN EN.JS.CITE </w:instrText>
      </w:r>
      <w:r w:rsidR="00226D7C">
        <w:rPr>
          <w:rFonts w:ascii="Times New Roman" w:hAnsi="Times New Roman" w:cs="Times New Roman"/>
          <w:sz w:val="24"/>
        </w:rPr>
      </w:r>
      <w:r w:rsidR="00226D7C">
        <w:rPr>
          <w:rFonts w:ascii="Times New Roman" w:hAnsi="Times New Roman" w:cs="Times New Roman"/>
          <w:sz w:val="24"/>
        </w:rPr>
        <w:fldChar w:fldCharType="separate"/>
      </w:r>
      <w:r w:rsidR="00226D7C" w:rsidRPr="00226D7C">
        <w:rPr>
          <w:rFonts w:ascii="Times New Roman" w:hAnsi="Times New Roman" w:cs="Times New Roman"/>
          <w:noProof/>
          <w:sz w:val="24"/>
          <w:vertAlign w:val="superscript"/>
        </w:rPr>
        <w:t>1,2</w:t>
      </w:r>
      <w:r w:rsidR="00226D7C">
        <w:rPr>
          <w:rFonts w:ascii="Times New Roman" w:hAnsi="Times New Roman" w:cs="Times New Roman"/>
          <w:sz w:val="24"/>
        </w:rPr>
        <w:fldChar w:fldCharType="end"/>
      </w:r>
      <w:r w:rsidR="00D4004C">
        <w:rPr>
          <w:rFonts w:ascii="Times New Roman" w:hAnsi="Times New Roman" w:cs="Times New Roman"/>
          <w:sz w:val="24"/>
        </w:rPr>
        <w:t xml:space="preserve">. </w:t>
      </w:r>
      <w:r w:rsidR="00D4004C" w:rsidRPr="00D4004C">
        <w:rPr>
          <w:rFonts w:ascii="Times New Roman" w:hAnsi="Times New Roman" w:cs="Times New Roman"/>
          <w:sz w:val="24"/>
        </w:rPr>
        <w:t>Machine-learning forecasts can improve predictive accuracy but often sacrifice interpretability and rarely propagate full parameter uncertainty into long-horizon projections</w:t>
      </w:r>
      <w:r w:rsidR="005F7ADD">
        <w:rPr>
          <w:rFonts w:ascii="Times New Roman" w:hAnsi="Times New Roman" w:cs="Times New Roman"/>
          <w:sz w:val="24"/>
        </w:rPr>
        <w:t xml:space="preserve"> </w:t>
      </w:r>
      <w:r w:rsidR="00226D7C">
        <w:rPr>
          <w:rFonts w:ascii="Times New Roman" w:hAnsi="Times New Roman" w:cs="Times New Roman"/>
          <w:sz w:val="24"/>
        </w:rPr>
        <w:fldChar w:fldCharType="begin">
          <w:fldData xml:space="preserve">PEVuZE5vdGU+PENpdGU+PEF1dGhvcj5BbmlsIEFyaTwvQXV0aG9yPjxZZWFyPjIwMjI8L1llYXI+
PFJlY051bT45MzU8L1JlY051bT48SURUZXh0PlN0cnVjdHVyYWwgUmVmb3JtcyBhbmQgRWNvbm9t
aWMgR3Jvd3RoOiBBIE1hY2hpbmUgTGVhcm5pbmcgQXBwcm9hY2g8L0lEVGV4dD48RGlzcGxheVRl
eHQ+PHN0eWxlIGZhY2U9InN1cGVyc2NyaXB0Ij41PC9zdHlsZT48L0Rpc3BsYXlUZXh0PjxyZWNv
cmQ+PHJlYy1ndWlkPjZhNTY0ZDhjLWJhZWItNGQ5Zi1hMDYzLWNhOWRlNzA1ZTViZDwvcmVjLWd1
aWQ+PHJlYy1udW1iZXI+OTM1PC9yZWMtbnVtYmVyPjxmb3JlaWduLWtleXM+PGtleSBhcHA9IkVO
IiBkYi1pZD0iMDV4OWF4cHpzejV0d2FldzVzMDUwMHRyOTB6emZlcHhleHRlIiB0aW1lc3RhbXA9
IjE3NTA3NTQyMTUiIGd1aWQ9IjZhNTY0ZDhjLWJhZWItNGQ5Zi1hMDYzLWNhOWRlNzA1ZTViZCI+
OTM1PC9rZXk+PC9mb3JlaWduLWtleXM+PHJlZi10eXBlIG5hbWU9IldlYiBQYWdlIj4xMjwvcmVm
LXR5cGU+PGNvbnRyaWJ1dG9ycz48YXV0aG9ycz48YXV0aG9yPkFuaWwgQXJpLEdhYm9yIFB1bGEs
TGl5YW5nIFN1bjwvYXV0aG9yPjwvYXV0aG9ycz48L2NvbnRyaWJ1dG9ycz48dGl0bGVzPjx0aXRs
ZT5TdHJ1Y3R1cmFsIFJlZm9ybXMgYW5kIEVjb25vbWljIEdyb3d0aDogQSBNYWNoaW5lIExlYXJu
aW5nIEFwcHJvYWNoPC90aXRsZT48L3RpdGxlcz48dm9sdW1lPjIwMjU8L3ZvbHVtZT48bnVtYmVy
PjYvMjQ8L251bWJlcj48ZGF0ZXM+PHllYXI+MjAyMjwveWVhcj48L2RhdGVzPjxwdWJsaXNoZXI+
SU5URVJOQVRJT05BTCBNT05FVEFSWSBGVU5EPC9wdWJsaXNoZXI+PGlzYm4+OTc5ODQwMDIxOTk1
NTwvaXNibj48dXJscz48cmVsYXRlZC11cmxzPjx1cmw+aHR0cHM6Ly93d3cuaW1mLm9yZy9lbi9Q
dWJsaWNhdGlvbnMvV1AvSXNzdWVzLzIwMjIvMDkvMTUvU3RydWN0dXJhbC1SZWZvcm1zLWFuZC1F
Y29ub21pYy1Hcm93dGgtQS1NYWNoaW5lLUxlYXJuaW5nLUFwcHJvYWNoLTUyMzM5NjwvdXJsPjwv
cmVsYXRlZC11cmxzPjwvdXJscz48Y3VzdG9tMT4yMDI1PC9jdXN0b20xPjxjdXN0b20yPjYvMjQ8
L2N1c3RvbTI+PC9yZWNvcmQ+PC9DaXRlPjwvRW5kTm90ZT5=
</w:fldData>
        </w:fldChar>
      </w:r>
      <w:r w:rsidR="00226D7C">
        <w:rPr>
          <w:rFonts w:ascii="Times New Roman" w:hAnsi="Times New Roman" w:cs="Times New Roman"/>
          <w:sz w:val="24"/>
        </w:rPr>
        <w:instrText xml:space="preserve"> ADDIN EN.JS.CITE </w:instrText>
      </w:r>
      <w:r w:rsidR="00226D7C">
        <w:rPr>
          <w:rFonts w:ascii="Times New Roman" w:hAnsi="Times New Roman" w:cs="Times New Roman"/>
          <w:sz w:val="24"/>
        </w:rPr>
      </w:r>
      <w:r w:rsidR="00226D7C">
        <w:rPr>
          <w:rFonts w:ascii="Times New Roman" w:hAnsi="Times New Roman" w:cs="Times New Roman"/>
          <w:sz w:val="24"/>
        </w:rPr>
        <w:fldChar w:fldCharType="separate"/>
      </w:r>
      <w:r w:rsidR="00226D7C" w:rsidRPr="00226D7C">
        <w:rPr>
          <w:rFonts w:ascii="Times New Roman" w:hAnsi="Times New Roman" w:cs="Times New Roman"/>
          <w:noProof/>
          <w:sz w:val="24"/>
          <w:vertAlign w:val="superscript"/>
        </w:rPr>
        <w:t>5</w:t>
      </w:r>
      <w:r w:rsidR="00226D7C">
        <w:rPr>
          <w:rFonts w:ascii="Times New Roman" w:hAnsi="Times New Roman" w:cs="Times New Roman"/>
          <w:sz w:val="24"/>
        </w:rPr>
        <w:fldChar w:fldCharType="end"/>
      </w:r>
      <w:r w:rsidR="005F7ADD" w:rsidRPr="005F7ADD">
        <w:rPr>
          <w:rFonts w:ascii="Times New Roman" w:hAnsi="Times New Roman" w:cs="Times New Roman"/>
          <w:sz w:val="24"/>
        </w:rPr>
        <w:t>.</w:t>
      </w:r>
      <w:r w:rsidR="005F7ADD">
        <w:rPr>
          <w:rFonts w:ascii="Times New Roman" w:hAnsi="Times New Roman" w:cs="Times New Roman"/>
          <w:sz w:val="24"/>
        </w:rPr>
        <w:t xml:space="preserve"> </w:t>
      </w:r>
      <w:r w:rsidR="00D4004C" w:rsidRPr="00D4004C">
        <w:rPr>
          <w:rFonts w:ascii="Times New Roman" w:hAnsi="Times New Roman" w:cs="Times New Roman"/>
          <w:sz w:val="24"/>
        </w:rPr>
        <w:t xml:space="preserve">Existing GDP projections typically model growth rates with convergence and then combine with population scenarios, but few offer probabilistic, globally pooled estimates that allow non-linearity and are tied explicitly to official UN demographic variants </w:t>
      </w:r>
      <w:r w:rsidR="00D4004C" w:rsidRPr="00D4004C">
        <w:rPr>
          <w:rFonts w:ascii="Times New Roman" w:hAnsi="Times New Roman" w:cs="Times New Roman"/>
          <w:b/>
          <w:bCs/>
          <w:sz w:val="24"/>
        </w:rPr>
        <w:t xml:space="preserve">[REF SSP/OECD; REF UN </w:t>
      </w:r>
      <w:r w:rsidR="00D4004C" w:rsidRPr="00D4004C">
        <w:rPr>
          <w:rFonts w:ascii="Times New Roman" w:hAnsi="Times New Roman" w:cs="Times New Roman"/>
          <w:b/>
          <w:bCs/>
          <w:sz w:val="24"/>
        </w:rPr>
        <w:lastRenderedPageBreak/>
        <w:t>WPP 2024]</w:t>
      </w:r>
      <w:r w:rsidR="00D4004C" w:rsidRPr="00D4004C">
        <w:rPr>
          <w:rFonts w:ascii="Times New Roman" w:hAnsi="Times New Roman" w:cs="Times New Roman"/>
          <w:sz w:val="24"/>
        </w:rPr>
        <w:t>.</w:t>
      </w:r>
    </w:p>
    <w:p w14:paraId="7EB1FBFD" w14:textId="2B74B303" w:rsidR="00D4004C" w:rsidRDefault="00D4004C" w:rsidP="00D4004C">
      <w:pPr>
        <w:spacing w:line="480" w:lineRule="auto"/>
        <w:ind w:firstLine="360"/>
        <w:rPr>
          <w:rFonts w:ascii="Times New Roman" w:hAnsi="Times New Roman" w:cs="Times New Roman"/>
          <w:sz w:val="24"/>
        </w:rPr>
      </w:pPr>
      <w:r w:rsidRPr="00D4004C">
        <w:rPr>
          <w:rFonts w:ascii="Times New Roman" w:hAnsi="Times New Roman" w:cs="Times New Roman"/>
          <w:sz w:val="24"/>
        </w:rPr>
        <w:t xml:space="preserve">We still lack a unified, hierarchical, and uncertainty-aware estimate of the population–GDP association that respects cross-country heterogeneity, permits smooth non-linearity without explosive extrapolation, and yields scenario-based GDP forecasts under multiple demographic pathways—forecasts that are interpretable for public-health planning given the tight GDP–health association </w:t>
      </w:r>
      <w:r w:rsidRPr="00D4004C">
        <w:rPr>
          <w:rFonts w:ascii="Times New Roman" w:hAnsi="Times New Roman" w:cs="Times New Roman"/>
          <w:b/>
          <w:bCs/>
          <w:sz w:val="24"/>
        </w:rPr>
        <w:t xml:space="preserve">[REF </w:t>
      </w:r>
      <w:proofErr w:type="spellStart"/>
      <w:r w:rsidRPr="00D4004C">
        <w:rPr>
          <w:rFonts w:ascii="Times New Roman" w:hAnsi="Times New Roman" w:cs="Times New Roman"/>
          <w:b/>
          <w:bCs/>
          <w:sz w:val="24"/>
        </w:rPr>
        <w:t>GDP↔Health</w:t>
      </w:r>
      <w:proofErr w:type="spellEnd"/>
      <w:r w:rsidRPr="00D4004C">
        <w:rPr>
          <w:rFonts w:ascii="Times New Roman" w:hAnsi="Times New Roman" w:cs="Times New Roman"/>
          <w:b/>
          <w:bCs/>
          <w:sz w:val="24"/>
        </w:rPr>
        <w:t xml:space="preserve"> overview]</w:t>
      </w:r>
      <w:r w:rsidRPr="00D4004C">
        <w:rPr>
          <w:rFonts w:ascii="Times New Roman" w:hAnsi="Times New Roman" w:cs="Times New Roman"/>
          <w:sz w:val="24"/>
        </w:rPr>
        <w:t>.</w:t>
      </w:r>
    </w:p>
    <w:p w14:paraId="3723DC09" w14:textId="466F3666" w:rsidR="00D4004C" w:rsidRDefault="00D4004C" w:rsidP="00D4004C">
      <w:pPr>
        <w:spacing w:line="480" w:lineRule="auto"/>
        <w:ind w:firstLine="360"/>
        <w:rPr>
          <w:rFonts w:ascii="Times New Roman" w:hAnsi="Times New Roman" w:cs="Times New Roman"/>
          <w:sz w:val="24"/>
        </w:rPr>
      </w:pPr>
      <w:r w:rsidRPr="00D4004C">
        <w:rPr>
          <w:rFonts w:ascii="Times New Roman" w:hAnsi="Times New Roman" w:cs="Times New Roman"/>
          <w:sz w:val="24"/>
        </w:rPr>
        <w:t xml:space="preserve">We estimate global and region-specific associations between centered log-population and log-GDP using a hierarchical Bayesian model with restricted cubic splines (RCS) (linear tails) and region/country random effects; quantify uncertainty with full posteriors and out-of-sample criteria; and produce probabilistic GDP projections (2024–2100) under eight UN WPP-2024 variants using an anchor-and-delta design (base-year anchoring, post-2085 taper, plausibility envelopes). By linking demography to GDP transparently, we provide inputs relevant to health-system and development planning </w:t>
      </w:r>
      <w:r w:rsidRPr="00D4004C">
        <w:rPr>
          <w:rFonts w:ascii="Times New Roman" w:hAnsi="Times New Roman" w:cs="Times New Roman"/>
          <w:b/>
          <w:bCs/>
          <w:sz w:val="24"/>
        </w:rPr>
        <w:t xml:space="preserve">[REF UN WPP 2024; REF </w:t>
      </w:r>
      <w:proofErr w:type="spellStart"/>
      <w:r w:rsidRPr="00D4004C">
        <w:rPr>
          <w:rFonts w:ascii="Times New Roman" w:hAnsi="Times New Roman" w:cs="Times New Roman"/>
          <w:b/>
          <w:bCs/>
          <w:sz w:val="24"/>
        </w:rPr>
        <w:t>GDP→Health</w:t>
      </w:r>
      <w:proofErr w:type="spellEnd"/>
      <w:r w:rsidRPr="00D4004C">
        <w:rPr>
          <w:rFonts w:ascii="Times New Roman" w:hAnsi="Times New Roman" w:cs="Times New Roman"/>
          <w:b/>
          <w:bCs/>
          <w:sz w:val="24"/>
        </w:rPr>
        <w:t xml:space="preserve"> planning]</w:t>
      </w:r>
      <w:r w:rsidRPr="00D4004C">
        <w:rPr>
          <w:rFonts w:ascii="Times New Roman" w:hAnsi="Times New Roman" w:cs="Times New Roman"/>
          <w:sz w:val="24"/>
        </w:rPr>
        <w:t>.</w:t>
      </w:r>
    </w:p>
    <w:p w14:paraId="0B059F2A" w14:textId="77777777" w:rsidR="00B77CA3" w:rsidRDefault="00B77CA3" w:rsidP="00B77CA3">
      <w:pPr>
        <w:spacing w:line="480" w:lineRule="auto"/>
        <w:ind w:firstLine="360"/>
        <w:rPr>
          <w:rFonts w:ascii="Times New Roman" w:hAnsi="Times New Roman" w:cs="Times New Roman"/>
          <w:sz w:val="24"/>
        </w:rPr>
      </w:pPr>
    </w:p>
    <w:p w14:paraId="1C943C6D" w14:textId="77777777" w:rsidR="00481BE2" w:rsidRPr="00481BE2" w:rsidRDefault="00481BE2" w:rsidP="00481BE2">
      <w:pPr>
        <w:spacing w:line="480" w:lineRule="auto"/>
        <w:rPr>
          <w:rFonts w:ascii="Times New Roman" w:hAnsi="Times New Roman" w:cs="Times New Roman"/>
          <w:b/>
          <w:bCs/>
          <w:sz w:val="24"/>
        </w:rPr>
      </w:pPr>
      <w:r w:rsidRPr="00481BE2">
        <w:rPr>
          <w:rFonts w:ascii="Times New Roman" w:hAnsi="Times New Roman" w:cs="Times New Roman"/>
          <w:b/>
          <w:bCs/>
          <w:sz w:val="24"/>
        </w:rPr>
        <w:t>Methods</w:t>
      </w:r>
    </w:p>
    <w:p w14:paraId="12109C4B" w14:textId="5B323D04" w:rsidR="005F7ADD" w:rsidRDefault="00481BE2" w:rsidP="005F7ADD">
      <w:pPr>
        <w:spacing w:line="480" w:lineRule="auto"/>
        <w:rPr>
          <w:rFonts w:ascii="Times New Roman" w:hAnsi="Times New Roman" w:cs="Times New Roman"/>
          <w:i/>
          <w:iCs/>
          <w:sz w:val="24"/>
        </w:rPr>
      </w:pPr>
      <w:r w:rsidRPr="005F7ADD">
        <w:rPr>
          <w:rFonts w:ascii="Times New Roman" w:hAnsi="Times New Roman" w:cs="Times New Roman"/>
          <w:i/>
          <w:iCs/>
          <w:sz w:val="24"/>
        </w:rPr>
        <w:t>Data Sources</w:t>
      </w:r>
    </w:p>
    <w:p w14:paraId="39317267" w14:textId="2BE7FBA5" w:rsidR="00B77CA3" w:rsidRPr="00B77CA3" w:rsidRDefault="00B77CA3" w:rsidP="00B77CA3">
      <w:pPr>
        <w:spacing w:line="480" w:lineRule="auto"/>
        <w:rPr>
          <w:rFonts w:ascii="Times New Roman" w:hAnsi="Times New Roman" w:cs="Times New Roman"/>
          <w:sz w:val="24"/>
        </w:rPr>
      </w:pPr>
      <w:r w:rsidRPr="00B77CA3">
        <w:rPr>
          <w:rFonts w:ascii="Times New Roman" w:hAnsi="Times New Roman" w:cs="Times New Roman"/>
          <w:sz w:val="24"/>
        </w:rPr>
        <w:lastRenderedPageBreak/>
        <w:t>Historical panel (1960–2023)</w:t>
      </w:r>
      <w:r w:rsidR="00130734">
        <w:rPr>
          <w:rFonts w:ascii="Times New Roman" w:hAnsi="Times New Roman" w:cs="Times New Roman"/>
          <w:sz w:val="24"/>
        </w:rPr>
        <w:t xml:space="preserve">: </w:t>
      </w:r>
      <w:r w:rsidRPr="00B77CA3">
        <w:rPr>
          <w:rFonts w:ascii="Times New Roman" w:hAnsi="Times New Roman" w:cs="Times New Roman"/>
          <w:sz w:val="24"/>
        </w:rPr>
        <w:t>Country–year GDP (current USD) and mid-year population were extracted from the World Bank World Development Indicators (</w:t>
      </w:r>
      <w:r w:rsidR="00130734" w:rsidRPr="00130734">
        <w:rPr>
          <w:rFonts w:ascii="Times New Roman" w:hAnsi="Times New Roman" w:cs="Times New Roman"/>
          <w:b/>
          <w:bCs/>
          <w:sz w:val="24"/>
        </w:rPr>
        <w:t>ref.</w:t>
      </w:r>
      <w:r w:rsidRPr="00B77CA3">
        <w:rPr>
          <w:rFonts w:ascii="Times New Roman" w:hAnsi="Times New Roman" w:cs="Times New Roman"/>
          <w:sz w:val="24"/>
        </w:rPr>
        <w:t>). Income-group and geographic-region codes follow the Bank’s 2024 classification.</w:t>
      </w:r>
    </w:p>
    <w:p w14:paraId="71324231" w14:textId="5C33D863" w:rsidR="00B77CA3" w:rsidRDefault="00B77CA3" w:rsidP="00B77CA3">
      <w:pPr>
        <w:spacing w:line="480" w:lineRule="auto"/>
        <w:rPr>
          <w:rFonts w:ascii="Times New Roman" w:hAnsi="Times New Roman" w:cs="Times New Roman"/>
          <w:sz w:val="24"/>
        </w:rPr>
      </w:pPr>
      <w:r w:rsidRPr="00B77CA3">
        <w:rPr>
          <w:rFonts w:ascii="Times New Roman" w:hAnsi="Times New Roman" w:cs="Times New Roman"/>
          <w:sz w:val="24"/>
        </w:rPr>
        <w:t>Demographic projections (2024–2100)</w:t>
      </w:r>
      <w:r w:rsidR="00130734">
        <w:rPr>
          <w:rFonts w:ascii="Times New Roman" w:hAnsi="Times New Roman" w:cs="Times New Roman"/>
          <w:sz w:val="24"/>
        </w:rPr>
        <w:t>:</w:t>
      </w:r>
      <w:r w:rsidRPr="00B77CA3">
        <w:rPr>
          <w:rFonts w:ascii="Times New Roman" w:hAnsi="Times New Roman" w:cs="Times New Roman"/>
          <w:sz w:val="24"/>
        </w:rPr>
        <w:t xml:space="preserve"> We used eight variants from UN WPP-2024—Medium, Constant-fertility, Instant-replacement zero migration, Momentum, Zero-migration, </w:t>
      </w:r>
      <w:proofErr w:type="gramStart"/>
      <w:r w:rsidRPr="00B77CA3">
        <w:rPr>
          <w:rFonts w:ascii="Times New Roman" w:hAnsi="Times New Roman" w:cs="Times New Roman"/>
          <w:sz w:val="24"/>
        </w:rPr>
        <w:t>No</w:t>
      </w:r>
      <w:proofErr w:type="gramEnd"/>
      <w:r w:rsidRPr="00B77CA3">
        <w:rPr>
          <w:rFonts w:ascii="Times New Roman" w:hAnsi="Times New Roman" w:cs="Times New Roman"/>
          <w:sz w:val="24"/>
        </w:rPr>
        <w:t xml:space="preserve"> change, </w:t>
      </w:r>
      <w:proofErr w:type="gramStart"/>
      <w:r w:rsidRPr="00B77CA3">
        <w:rPr>
          <w:rFonts w:ascii="Times New Roman" w:hAnsi="Times New Roman" w:cs="Times New Roman"/>
          <w:sz w:val="24"/>
        </w:rPr>
        <w:t>No</w:t>
      </w:r>
      <w:proofErr w:type="gramEnd"/>
      <w:r w:rsidRPr="00B77CA3">
        <w:rPr>
          <w:rFonts w:ascii="Times New Roman" w:hAnsi="Times New Roman" w:cs="Times New Roman"/>
          <w:sz w:val="24"/>
        </w:rPr>
        <w:t xml:space="preserve"> fertility below age 18, and Accelerated adolescent-birth-rate decline recuperation—parsed from spreadsheet F01</w:t>
      </w:r>
      <w:r w:rsidR="00130734">
        <w:rPr>
          <w:rFonts w:ascii="Times New Roman" w:hAnsi="Times New Roman" w:cs="Times New Roman"/>
          <w:sz w:val="24"/>
        </w:rPr>
        <w:t>(</w:t>
      </w:r>
      <w:r w:rsidR="00130734" w:rsidRPr="00130734">
        <w:rPr>
          <w:rFonts w:ascii="Times New Roman" w:hAnsi="Times New Roman" w:cs="Times New Roman"/>
          <w:b/>
          <w:bCs/>
          <w:sz w:val="24"/>
        </w:rPr>
        <w:t>ref.</w:t>
      </w:r>
      <w:r w:rsidR="00130734">
        <w:rPr>
          <w:rFonts w:ascii="Times New Roman" w:hAnsi="Times New Roman" w:cs="Times New Roman"/>
          <w:sz w:val="24"/>
        </w:rPr>
        <w:t>)</w:t>
      </w:r>
      <w:r w:rsidRPr="00B77CA3">
        <w:rPr>
          <w:rFonts w:ascii="Times New Roman" w:hAnsi="Times New Roman" w:cs="Times New Roman"/>
          <w:sz w:val="24"/>
        </w:rPr>
        <w:t>. After removing records lacking GDP, population, or region identifiers, the analytic sample comprised 180 countries (</w:t>
      </w:r>
      <m:oMath>
        <m:r>
          <w:rPr>
            <w:rFonts w:ascii="Cambria Math" w:hAnsi="Cambria Math" w:cs="Times New Roman"/>
            <w:sz w:val="24"/>
          </w:rPr>
          <m:t>≈</m:t>
        </m:r>
      </m:oMath>
      <w:r w:rsidRPr="00B77CA3">
        <w:rPr>
          <w:rFonts w:ascii="Times New Roman" w:hAnsi="Times New Roman" w:cs="Times New Roman"/>
          <w:sz w:val="24"/>
        </w:rPr>
        <w:t>97% of world GDP).</w:t>
      </w:r>
    </w:p>
    <w:p w14:paraId="5327AC09" w14:textId="2697ACF1" w:rsidR="00481BE2" w:rsidRPr="005F7ADD" w:rsidRDefault="00481BE2" w:rsidP="00481BE2">
      <w:pPr>
        <w:spacing w:line="480" w:lineRule="auto"/>
        <w:rPr>
          <w:rFonts w:ascii="Times New Roman" w:hAnsi="Times New Roman" w:cs="Times New Roman"/>
          <w:i/>
          <w:iCs/>
          <w:sz w:val="24"/>
        </w:rPr>
      </w:pPr>
      <w:r w:rsidRPr="005F7ADD">
        <w:rPr>
          <w:rFonts w:ascii="Times New Roman" w:hAnsi="Times New Roman" w:cs="Times New Roman"/>
          <w:i/>
          <w:iCs/>
          <w:sz w:val="24"/>
        </w:rPr>
        <w:t>Variables</w:t>
      </w:r>
    </w:p>
    <w:p w14:paraId="1C1768B4" w14:textId="078D3AA2" w:rsidR="00B77CA3" w:rsidRPr="00B77CA3" w:rsidRDefault="00B77CA3" w:rsidP="00481BE2">
      <w:pPr>
        <w:spacing w:line="480" w:lineRule="auto"/>
        <w:rPr>
          <w:rFonts w:ascii="Times New Roman" w:hAnsi="Times New Roman" w:cs="Times New Roman"/>
          <w:sz w:val="24"/>
        </w:rPr>
      </w:pPr>
      <w:r w:rsidRPr="00B77CA3">
        <w:rPr>
          <w:rFonts w:ascii="Times New Roman" w:hAnsi="Times New Roman" w:cs="Times New Roman"/>
          <w:sz w:val="24"/>
        </w:rPr>
        <w:t xml:space="preserve">GDP and population were base-10 log-transformed. Centered log-population was defined as </w:t>
      </w:r>
      <m:oMath>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ir</m:t>
            </m:r>
          </m:sub>
        </m:sSub>
        <m:r>
          <w:rPr>
            <w:rFonts w:ascii="Cambria Math" w:hAnsi="Cambria Math" w:cs="Times New Roman"/>
            <w:sz w:val="24"/>
          </w:rPr>
          <m:t>=</m:t>
        </m:r>
        <m:func>
          <m:funcPr>
            <m:ctrlPr>
              <w:rPr>
                <w:rFonts w:ascii="Cambria Math" w:hAnsi="Cambria Math" w:cs="Times New Roman"/>
                <w:i/>
                <w:sz w:val="24"/>
              </w:rPr>
            </m:ctrlPr>
          </m:funcPr>
          <m:fName>
            <m:sSub>
              <m:sSubPr>
                <m:ctrlPr>
                  <w:rPr>
                    <w:rFonts w:ascii="Cambria Math" w:hAnsi="Cambria Math" w:cs="Times New Roman"/>
                    <w:i/>
                    <w:sz w:val="24"/>
                  </w:rPr>
                </m:ctrlPr>
              </m:sSubPr>
              <m:e>
                <m:r>
                  <m:rPr>
                    <m:sty m:val="p"/>
                  </m:rPr>
                  <w:rPr>
                    <w:rFonts w:ascii="Cambria Math" w:hAnsi="Cambria Math" w:cs="Times New Roman"/>
                    <w:sz w:val="24"/>
                  </w:rPr>
                  <m:t>log</m:t>
                </m:r>
              </m:e>
              <m:sub>
                <m:r>
                  <w:rPr>
                    <w:rFonts w:ascii="Cambria Math" w:hAnsi="Cambria Math" w:cs="Times New Roman"/>
                    <w:sz w:val="24"/>
                  </w:rPr>
                  <m:t>10</m:t>
                </m:r>
              </m:sub>
            </m:sSub>
          </m:fName>
          <m:e>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Pop</m:t>
                </m:r>
              </m:e>
              <m:sub>
                <m:r>
                  <w:rPr>
                    <w:rFonts w:ascii="Cambria Math" w:hAnsi="Cambria Math" w:cs="Times New Roman"/>
                    <w:sz w:val="24"/>
                  </w:rPr>
                  <m:t>ir</m:t>
                </m:r>
              </m:sub>
            </m:sSub>
            <m:r>
              <w:rPr>
                <w:rFonts w:ascii="Cambria Math" w:hAnsi="Cambria Math" w:cs="Times New Roman"/>
                <w:sz w:val="24"/>
              </w:rPr>
              <m:t>)-</m:t>
            </m:r>
            <m:acc>
              <m:accPr>
                <m:chr m:val="̅"/>
                <m:ctrlPr>
                  <w:rPr>
                    <w:rFonts w:ascii="Cambria Math" w:hAnsi="Cambria Math" w:cs="Times New Roman"/>
                    <w:i/>
                    <w:sz w:val="24"/>
                  </w:rPr>
                </m:ctrlPr>
              </m:accPr>
              <m:e>
                <m:r>
                  <w:rPr>
                    <w:rFonts w:ascii="Cambria Math" w:hAnsi="Cambria Math" w:cs="Times New Roman"/>
                    <w:sz w:val="24"/>
                  </w:rPr>
                  <m:t>x</m:t>
                </m:r>
              </m:e>
            </m:acc>
          </m:e>
        </m:func>
      </m:oMath>
      <w:r w:rsidRPr="00B77CA3">
        <w:rPr>
          <w:rFonts w:ascii="Times New Roman" w:hAnsi="Times New Roman" w:cs="Times New Roman"/>
          <w:sz w:val="24"/>
        </w:rPr>
        <w:t xml:space="preserve"> using the 1960–2023 global mean </w:t>
      </w:r>
      <m:oMath>
        <m:acc>
          <m:accPr>
            <m:chr m:val="̅"/>
            <m:ctrlPr>
              <w:rPr>
                <w:rFonts w:ascii="Cambria Math" w:hAnsi="Cambria Math" w:cs="Times New Roman"/>
                <w:i/>
                <w:sz w:val="24"/>
              </w:rPr>
            </m:ctrlPr>
          </m:accPr>
          <m:e>
            <m:r>
              <w:rPr>
                <w:rFonts w:ascii="Cambria Math" w:hAnsi="Cambria Math" w:cs="Times New Roman"/>
                <w:sz w:val="24"/>
              </w:rPr>
              <m:t>x</m:t>
            </m:r>
          </m:e>
        </m:acc>
      </m:oMath>
      <w:r w:rsidRPr="00B77CA3">
        <w:rPr>
          <w:rFonts w:ascii="Times New Roman" w:hAnsi="Times New Roman" w:cs="Times New Roman"/>
          <w:sz w:val="24"/>
        </w:rPr>
        <w:t xml:space="preserve">. </w:t>
      </w:r>
      <w:r w:rsidR="002D5366" w:rsidRPr="002D5366">
        <w:rPr>
          <w:rFonts w:ascii="Times New Roman" w:hAnsi="Times New Roman" w:cs="Times New Roman"/>
          <w:sz w:val="24"/>
        </w:rPr>
        <w:t>To allow smooth non-linearity without explosive extrapolation, x entered as a restricted cubic spline (RCS) with knots near the 5th, 35th, 65th, and 95th percentiles; RCS has linear tails by construction.</w:t>
      </w:r>
    </w:p>
    <w:p w14:paraId="71FF0193" w14:textId="1E1EDF14" w:rsidR="00481BE2" w:rsidRPr="005F7ADD" w:rsidRDefault="00481BE2" w:rsidP="00481BE2">
      <w:pPr>
        <w:spacing w:line="480" w:lineRule="auto"/>
        <w:rPr>
          <w:rFonts w:ascii="Times New Roman" w:hAnsi="Times New Roman" w:cs="Times New Roman"/>
          <w:i/>
          <w:iCs/>
          <w:sz w:val="24"/>
        </w:rPr>
      </w:pPr>
      <w:r w:rsidRPr="005F7ADD">
        <w:rPr>
          <w:rFonts w:ascii="Times New Roman" w:hAnsi="Times New Roman" w:cs="Times New Roman"/>
          <w:i/>
          <w:iCs/>
          <w:sz w:val="24"/>
        </w:rPr>
        <w:t>Hierarchical Bayesian Model</w:t>
      </w:r>
    </w:p>
    <w:p w14:paraId="5EEC60EE" w14:textId="32CBE4C6" w:rsidR="00481BE2" w:rsidRDefault="00481BE2" w:rsidP="00481BE2">
      <w:pPr>
        <w:spacing w:line="480" w:lineRule="auto"/>
        <w:rPr>
          <w:rFonts w:ascii="Times New Roman" w:hAnsi="Times New Roman" w:cs="Times New Roman"/>
          <w:sz w:val="24"/>
        </w:rPr>
      </w:pPr>
      <w:r w:rsidRPr="00481BE2">
        <w:rPr>
          <w:rFonts w:ascii="Times New Roman" w:hAnsi="Times New Roman" w:cs="Times New Roman"/>
          <w:sz w:val="24"/>
        </w:rPr>
        <w:t xml:space="preserve">For country </w:t>
      </w:r>
      <m:oMath>
        <m:r>
          <w:rPr>
            <w:rFonts w:ascii="Cambria Math" w:hAnsi="Cambria Math" w:cs="Times New Roman"/>
            <w:sz w:val="24"/>
          </w:rPr>
          <m:t>i</m:t>
        </m:r>
      </m:oMath>
      <w:r w:rsidRPr="00481BE2">
        <w:rPr>
          <w:rFonts w:ascii="Times New Roman" w:hAnsi="Times New Roman" w:cs="Times New Roman"/>
          <w:sz w:val="24"/>
        </w:rPr>
        <w:t xml:space="preserve"> in region </w:t>
      </w:r>
      <m:oMath>
        <m:r>
          <w:rPr>
            <w:rFonts w:ascii="Cambria Math" w:hAnsi="Cambria Math" w:cs="Times New Roman"/>
            <w:sz w:val="24"/>
          </w:rPr>
          <m:t>r</m:t>
        </m:r>
      </m:oMath>
      <w:r w:rsidRPr="00481BE2">
        <w:rPr>
          <w:rFonts w:ascii="Times New Roman" w:hAnsi="Times New Roman" w:cs="Times New Roman"/>
          <w:sz w:val="24"/>
        </w:rPr>
        <w:t>:</w:t>
      </w:r>
    </w:p>
    <w:p w14:paraId="195F9617" w14:textId="3980CC39" w:rsidR="00130734" w:rsidRPr="00481BE2" w:rsidRDefault="00000000" w:rsidP="00481BE2">
      <w:pPr>
        <w:spacing w:line="480" w:lineRule="auto"/>
        <w:rPr>
          <w:rFonts w:ascii="Times New Roman" w:hAnsi="Times New Roman" w:cs="Times New Roman"/>
          <w:sz w:val="24"/>
        </w:rPr>
      </w:pPr>
      <m:oMathPara>
        <m:oMath>
          <m:func>
            <m:funcPr>
              <m:ctrlPr>
                <w:rPr>
                  <w:rFonts w:ascii="Cambria Math" w:hAnsi="Cambria Math" w:cs="Times New Roman"/>
                  <w:i/>
                  <w:sz w:val="24"/>
                </w:rPr>
              </m:ctrlPr>
            </m:funcPr>
            <m:fName>
              <m:sSub>
                <m:sSubPr>
                  <m:ctrlPr>
                    <w:rPr>
                      <w:rFonts w:ascii="Cambria Math" w:hAnsi="Cambria Math" w:cs="Times New Roman"/>
                      <w:i/>
                      <w:sz w:val="24"/>
                    </w:rPr>
                  </m:ctrlPr>
                </m:sSubPr>
                <m:e>
                  <m:r>
                    <m:rPr>
                      <m:sty m:val="p"/>
                    </m:rPr>
                    <w:rPr>
                      <w:rFonts w:ascii="Cambria Math" w:hAnsi="Cambria Math" w:cs="Times New Roman"/>
                      <w:sz w:val="24"/>
                    </w:rPr>
                    <m:t>log</m:t>
                  </m:r>
                </m:e>
                <m:sub>
                  <m:r>
                    <w:rPr>
                      <w:rFonts w:ascii="Cambria Math" w:hAnsi="Cambria Math" w:cs="Times New Roman"/>
                      <w:sz w:val="24"/>
                    </w:rPr>
                    <m:t>10</m:t>
                  </m:r>
                </m:sub>
              </m:sSub>
            </m:fName>
            <m:e>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GDP</m:t>
                  </m:r>
                </m:e>
                <m:sub>
                  <m:r>
                    <w:rPr>
                      <w:rFonts w:ascii="Cambria Math" w:hAnsi="Cambria Math" w:cs="Times New Roman"/>
                      <w:sz w:val="24"/>
                    </w:rPr>
                    <m:t>ir</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α</m:t>
                  </m:r>
                </m:e>
                <m:sub>
                  <m:r>
                    <w:rPr>
                      <w:rFonts w:ascii="Cambria Math" w:hAnsi="Cambria Math" w:cs="Times New Roman"/>
                      <w:sz w:val="24"/>
                    </w:rPr>
                    <m:t>i</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i</m:t>
                  </m:r>
                </m:sub>
              </m:sSub>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ir</m:t>
                  </m:r>
                </m:sub>
              </m:sSub>
              <m:r>
                <w:rPr>
                  <w:rFonts w:ascii="Cambria Math" w:hAnsi="Cambria Math" w:cs="Times New Roman"/>
                  <w:sz w:val="24"/>
                </w:rPr>
                <m:t>+</m:t>
              </m:r>
              <m:sSubSup>
                <m:sSubSupPr>
                  <m:ctrlPr>
                    <w:rPr>
                      <w:rFonts w:ascii="Cambria Math" w:hAnsi="Cambria Math" w:cs="Times New Roman"/>
                      <w:i/>
                      <w:sz w:val="24"/>
                    </w:rPr>
                  </m:ctrlPr>
                </m:sSubSupPr>
                <m:e>
                  <m:r>
                    <w:rPr>
                      <w:rFonts w:ascii="Cambria Math" w:hAnsi="Cambria Math" w:cs="Times New Roman"/>
                      <w:sz w:val="24"/>
                    </w:rPr>
                    <m:t>ϑ</m:t>
                  </m:r>
                </m:e>
                <m:sub>
                  <m:r>
                    <w:rPr>
                      <w:rFonts w:ascii="Cambria Math" w:hAnsi="Cambria Math" w:cs="Times New Roman"/>
                      <w:sz w:val="24"/>
                    </w:rPr>
                    <m:t>γ</m:t>
                  </m:r>
                </m:sub>
                <m:sup>
                  <m:r>
                    <w:rPr>
                      <w:rFonts w:ascii="Cambria Math" w:hAnsi="Cambria Math" w:cs="Times New Roman"/>
                      <w:sz w:val="24"/>
                    </w:rPr>
                    <m:t>T</m:t>
                  </m:r>
                </m:sup>
              </m:sSubSup>
              <m:r>
                <w:rPr>
                  <w:rFonts w:ascii="Cambria Math" w:hAnsi="Cambria Math" w:cs="Times New Roman"/>
                  <w:sz w:val="24"/>
                </w:rPr>
                <m:t>s(</m:t>
              </m:r>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ir</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ε</m:t>
                  </m:r>
                </m:e>
                <m:sub>
                  <m:r>
                    <w:rPr>
                      <w:rFonts w:ascii="Cambria Math" w:hAnsi="Cambria Math" w:cs="Times New Roman"/>
                      <w:sz w:val="24"/>
                    </w:rPr>
                    <m:t>ir</m:t>
                  </m:r>
                </m:sub>
              </m:sSub>
              <m:r>
                <w:rPr>
                  <w:rFonts w:ascii="Cambria Math" w:hAnsi="Cambria Math" w:cs="Times New Roman"/>
                  <w:sz w:val="24"/>
                </w:rPr>
                <m:t xml:space="preserve">, </m:t>
              </m:r>
              <m:sSub>
                <m:sSubPr>
                  <m:ctrlPr>
                    <w:rPr>
                      <w:rFonts w:ascii="Cambria Math" w:hAnsi="Cambria Math" w:cs="Times New Roman"/>
                      <w:i/>
                      <w:sz w:val="24"/>
                    </w:rPr>
                  </m:ctrlPr>
                </m:sSubPr>
                <m:e>
                  <m:r>
                    <w:rPr>
                      <w:rFonts w:ascii="Cambria Math" w:hAnsi="Cambria Math" w:cs="Times New Roman"/>
                      <w:sz w:val="24"/>
                    </w:rPr>
                    <m:t>ε</m:t>
                  </m:r>
                </m:e>
                <m:sub>
                  <m:r>
                    <w:rPr>
                      <w:rFonts w:ascii="Cambria Math" w:hAnsi="Cambria Math" w:cs="Times New Roman"/>
                      <w:sz w:val="24"/>
                    </w:rPr>
                    <m:t>ir</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t</m:t>
                  </m:r>
                </m:e>
                <m:sub>
                  <m:r>
                    <w:rPr>
                      <w:rFonts w:ascii="Cambria Math" w:hAnsi="Cambria Math" w:cs="Times New Roman"/>
                      <w:sz w:val="24"/>
                    </w:rPr>
                    <m:t>ν</m:t>
                  </m:r>
                </m:sub>
              </m:sSub>
              <m:r>
                <w:rPr>
                  <w:rFonts w:ascii="Cambria Math" w:hAnsi="Cambria Math" w:cs="Times New Roman"/>
                  <w:sz w:val="24"/>
                </w:rPr>
                <m:t>(0, σ)</m:t>
              </m:r>
            </m:e>
          </m:func>
        </m:oMath>
      </m:oMathPara>
    </w:p>
    <w:p w14:paraId="55162B44" w14:textId="77777777" w:rsidR="001C4D2F" w:rsidRDefault="001C4D2F" w:rsidP="00481BE2">
      <w:pPr>
        <w:spacing w:line="480" w:lineRule="auto"/>
        <w:rPr>
          <w:rFonts w:ascii="Times New Roman" w:hAnsi="Times New Roman" w:cs="Times New Roman"/>
          <w:sz w:val="24"/>
        </w:rPr>
      </w:pPr>
      <w:r w:rsidRPr="001C4D2F">
        <w:rPr>
          <w:rFonts w:ascii="Times New Roman" w:hAnsi="Times New Roman" w:cs="Times New Roman"/>
          <w:sz w:val="24"/>
        </w:rPr>
        <w:t>with country-level random intercepts/slopes</w:t>
      </w:r>
    </w:p>
    <w:p w14:paraId="20C3D86B" w14:textId="49F77E10" w:rsidR="001C4D2F" w:rsidRDefault="001C4D2F" w:rsidP="00481BE2">
      <w:pPr>
        <w:spacing w:line="480" w:lineRule="auto"/>
        <w:rPr>
          <w:rFonts w:ascii="Times New Roman" w:hAnsi="Times New Roman" w:cs="Times New Roman"/>
          <w:sz w:val="24"/>
        </w:rPr>
      </w:pPr>
      <m:oMathPara>
        <m:oMath>
          <m:r>
            <w:rPr>
              <w:rFonts w:ascii="Cambria Math" w:hAnsi="Cambria Math" w:cs="Times New Roman"/>
              <w:sz w:val="24"/>
            </w:rPr>
            <m:t>α~</m:t>
          </m:r>
          <m:r>
            <m:rPr>
              <m:scr m:val="script"/>
            </m:rPr>
            <w:rPr>
              <w:rFonts w:ascii="Cambria Math" w:hAnsi="Cambria Math" w:cs="Times New Roman"/>
              <w:sz w:val="24"/>
            </w:rPr>
            <m:t>N(</m:t>
          </m:r>
          <m:sSub>
            <m:sSubPr>
              <m:ctrlPr>
                <w:rPr>
                  <w:rFonts w:ascii="Cambria Math" w:hAnsi="Cambria Math" w:cs="Times New Roman"/>
                  <w:i/>
                  <w:sz w:val="24"/>
                </w:rPr>
              </m:ctrlPr>
            </m:sSubPr>
            <m:e>
              <m:r>
                <w:rPr>
                  <w:rFonts w:ascii="Cambria Math" w:hAnsi="Cambria Math" w:cs="Times New Roman"/>
                  <w:sz w:val="24"/>
                </w:rPr>
                <m:t>α</m:t>
              </m:r>
            </m:e>
            <m:sub>
              <m:r>
                <w:rPr>
                  <w:rFonts w:ascii="Cambria Math" w:hAnsi="Cambria Math" w:cs="Times New Roman"/>
                  <w:sz w:val="24"/>
                </w:rPr>
                <m:t>r</m:t>
              </m:r>
            </m:sub>
          </m:sSub>
          <m:r>
            <w:rPr>
              <w:rFonts w:ascii="Cambria Math" w:hAnsi="Cambria Math" w:cs="Times New Roman"/>
              <w:sz w:val="24"/>
            </w:rPr>
            <m:t xml:space="preserve">, </m:t>
          </m:r>
          <m:sSubSup>
            <m:sSubSupPr>
              <m:ctrlPr>
                <w:rPr>
                  <w:rFonts w:ascii="Cambria Math" w:hAnsi="Cambria Math" w:cs="Times New Roman"/>
                  <w:i/>
                  <w:sz w:val="24"/>
                </w:rPr>
              </m:ctrlPr>
            </m:sSubSupPr>
            <m:e>
              <m:r>
                <w:rPr>
                  <w:rFonts w:ascii="Cambria Math" w:hAnsi="Cambria Math" w:cs="Times New Roman"/>
                  <w:sz w:val="24"/>
                </w:rPr>
                <m:t>σ</m:t>
              </m:r>
            </m:e>
            <m:sub>
              <m:r>
                <w:rPr>
                  <w:rFonts w:ascii="Cambria Math" w:hAnsi="Cambria Math" w:cs="Times New Roman"/>
                  <w:sz w:val="24"/>
                </w:rPr>
                <m:t>α, r</m:t>
              </m:r>
            </m:sub>
            <m:sup>
              <m:r>
                <w:rPr>
                  <w:rFonts w:ascii="Cambria Math" w:hAnsi="Cambria Math" w:cs="Times New Roman"/>
                  <w:sz w:val="24"/>
                </w:rPr>
                <m:t>2</m:t>
              </m:r>
            </m:sup>
          </m:sSubSup>
          <m:r>
            <w:rPr>
              <w:rFonts w:ascii="Cambria Math" w:hAnsi="Cambria Math" w:cs="Times New Roman"/>
              <w:sz w:val="24"/>
            </w:rPr>
            <m:t xml:space="preserve">), </m:t>
          </m:r>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i</m:t>
              </m:r>
            </m:sub>
          </m:sSub>
          <m:r>
            <m:rPr>
              <m:scr m:val="script"/>
            </m:rPr>
            <w:rPr>
              <w:rFonts w:ascii="Cambria Math" w:hAnsi="Cambria Math" w:cs="Times New Roman"/>
              <w:sz w:val="24"/>
            </w:rPr>
            <m:t>~N(</m:t>
          </m:r>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r</m:t>
              </m:r>
            </m:sub>
          </m:sSub>
          <m:r>
            <w:rPr>
              <w:rFonts w:ascii="Cambria Math" w:hAnsi="Cambria Math" w:cs="Times New Roman"/>
              <w:sz w:val="24"/>
            </w:rPr>
            <m:t xml:space="preserve">, </m:t>
          </m:r>
          <m:sSubSup>
            <m:sSubSupPr>
              <m:ctrlPr>
                <w:rPr>
                  <w:rFonts w:ascii="Cambria Math" w:hAnsi="Cambria Math" w:cs="Times New Roman"/>
                  <w:i/>
                  <w:sz w:val="24"/>
                </w:rPr>
              </m:ctrlPr>
            </m:sSubSupPr>
            <m:e>
              <m:r>
                <w:rPr>
                  <w:rFonts w:ascii="Cambria Math" w:hAnsi="Cambria Math" w:cs="Times New Roman"/>
                  <w:sz w:val="24"/>
                </w:rPr>
                <m:t>σ</m:t>
              </m:r>
            </m:e>
            <m:sub>
              <m:r>
                <w:rPr>
                  <w:rFonts w:ascii="Cambria Math" w:hAnsi="Cambria Math" w:cs="Times New Roman"/>
                  <w:sz w:val="24"/>
                </w:rPr>
                <m:t>β, r</m:t>
              </m:r>
            </m:sub>
            <m:sup>
              <m:r>
                <w:rPr>
                  <w:rFonts w:ascii="Cambria Math" w:hAnsi="Cambria Math" w:cs="Times New Roman"/>
                  <w:sz w:val="24"/>
                </w:rPr>
                <m:t>2</m:t>
              </m:r>
            </m:sup>
          </m:sSubSup>
          <m:r>
            <w:rPr>
              <w:rFonts w:ascii="Cambria Math" w:hAnsi="Cambria Math" w:cs="Times New Roman"/>
              <w:sz w:val="24"/>
            </w:rPr>
            <m:t>)</m:t>
          </m:r>
        </m:oMath>
      </m:oMathPara>
    </w:p>
    <w:p w14:paraId="0658F796" w14:textId="7B52C5D9" w:rsidR="005F7ADD" w:rsidRDefault="008B5690" w:rsidP="00481BE2">
      <w:pPr>
        <w:spacing w:line="480" w:lineRule="auto"/>
        <w:rPr>
          <w:rFonts w:ascii="Times New Roman" w:hAnsi="Times New Roman" w:cs="Times New Roman"/>
          <w:i/>
          <w:iCs/>
          <w:sz w:val="24"/>
        </w:rPr>
      </w:pPr>
      <w:r w:rsidRPr="008B5690">
        <w:rPr>
          <w:rFonts w:ascii="Times New Roman" w:hAnsi="Times New Roman" w:cs="Times New Roman"/>
          <w:sz w:val="24"/>
        </w:rPr>
        <w:t xml:space="preserve">and region-level spline weights </w:t>
      </w:r>
      <m:oMath>
        <m:sSub>
          <m:sSubPr>
            <m:ctrlPr>
              <w:rPr>
                <w:rFonts w:ascii="Cambria Math" w:hAnsi="Cambria Math" w:cs="Times New Roman"/>
                <w:i/>
                <w:sz w:val="24"/>
              </w:rPr>
            </m:ctrlPr>
          </m:sSubPr>
          <m:e>
            <m:r>
              <w:rPr>
                <w:rFonts w:ascii="Cambria Math" w:hAnsi="Cambria Math" w:cs="Times New Roman"/>
                <w:sz w:val="24"/>
              </w:rPr>
              <m:t>θ</m:t>
            </m:r>
          </m:e>
          <m:sub>
            <m:r>
              <w:rPr>
                <w:rFonts w:ascii="Cambria Math" w:hAnsi="Cambria Math" w:cs="Times New Roman"/>
                <w:sz w:val="24"/>
              </w:rPr>
              <m:t>r</m:t>
            </m:r>
          </m:sub>
        </m:sSub>
        <m:r>
          <m:rPr>
            <m:scr m:val="script"/>
          </m:rPr>
          <w:rPr>
            <w:rFonts w:ascii="Cambria Math" w:hAnsi="Cambria Math" w:cs="Times New Roman"/>
            <w:sz w:val="24"/>
          </w:rPr>
          <m:t>~N</m:t>
        </m:r>
        <m:r>
          <w:rPr>
            <w:rFonts w:ascii="Cambria Math" w:hAnsi="Cambria Math" w:cs="Times New Roman"/>
            <w:sz w:val="24"/>
          </w:rPr>
          <m:t xml:space="preserve">(0, </m:t>
        </m:r>
        <m:sSubSup>
          <m:sSubSupPr>
            <m:ctrlPr>
              <w:rPr>
                <w:rFonts w:ascii="Cambria Math" w:hAnsi="Cambria Math" w:cs="Times New Roman"/>
                <w:i/>
                <w:sz w:val="24"/>
              </w:rPr>
            </m:ctrlPr>
          </m:sSubSupPr>
          <m:e>
            <m:r>
              <w:rPr>
                <w:rFonts w:ascii="Cambria Math" w:hAnsi="Cambria Math" w:cs="Times New Roman"/>
                <w:sz w:val="24"/>
              </w:rPr>
              <m:t>σ</m:t>
            </m:r>
          </m:e>
          <m:sub>
            <m:r>
              <w:rPr>
                <w:rFonts w:ascii="Cambria Math" w:hAnsi="Cambria Math" w:cs="Times New Roman"/>
                <w:sz w:val="24"/>
              </w:rPr>
              <m:t>θ</m:t>
            </m:r>
          </m:sub>
          <m:sup>
            <m:r>
              <w:rPr>
                <w:rFonts w:ascii="Cambria Math" w:hAnsi="Cambria Math" w:cs="Times New Roman"/>
                <w:sz w:val="24"/>
              </w:rPr>
              <m:t>2</m:t>
            </m:r>
          </m:sup>
        </m:sSubSup>
        <m:r>
          <w:rPr>
            <w:rFonts w:ascii="Cambria Math" w:hAnsi="Cambria Math" w:cs="Times New Roman"/>
            <w:sz w:val="24"/>
          </w:rPr>
          <m:t>I)</m:t>
        </m:r>
      </m:oMath>
      <w:r w:rsidRPr="008B5690">
        <w:rPr>
          <w:rFonts w:ascii="Times New Roman" w:hAnsi="Times New Roman" w:cs="Times New Roman"/>
          <w:sz w:val="24"/>
        </w:rPr>
        <w:t xml:space="preserve">. Weakly informative priors were used for </w:t>
      </w:r>
      <m:oMath>
        <m:sSub>
          <m:sSubPr>
            <m:ctrlPr>
              <w:rPr>
                <w:rFonts w:ascii="Cambria Math" w:hAnsi="Cambria Math" w:cs="Times New Roman"/>
                <w:i/>
                <w:sz w:val="24"/>
              </w:rPr>
            </m:ctrlPr>
          </m:sSubPr>
          <m:e>
            <m:r>
              <w:rPr>
                <w:rFonts w:ascii="Cambria Math" w:hAnsi="Cambria Math" w:cs="Times New Roman"/>
                <w:sz w:val="24"/>
              </w:rPr>
              <m:t>α</m:t>
            </m:r>
          </m:e>
          <m:sub>
            <m:r>
              <w:rPr>
                <w:rFonts w:ascii="Cambria Math" w:hAnsi="Cambria Math" w:cs="Times New Roman"/>
                <w:sz w:val="24"/>
              </w:rPr>
              <m:t>r</m:t>
            </m:r>
          </m:sub>
        </m:sSub>
        <m:r>
          <w:rPr>
            <w:rFonts w:ascii="Cambria Math" w:hAnsi="Cambria Math" w:cs="Times New Roman"/>
            <w:sz w:val="24"/>
          </w:rPr>
          <m:t xml:space="preserve">, </m:t>
        </m:r>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r</m:t>
            </m:r>
          </m:sub>
        </m:sSub>
      </m:oMath>
      <w:r w:rsidRPr="008B5690">
        <w:rPr>
          <w:rFonts w:ascii="Times New Roman" w:hAnsi="Times New Roman" w:cs="Times New Roman"/>
          <w:sz w:val="24"/>
        </w:rPr>
        <w:t>; Half-Student-t(</w:t>
      </w:r>
      <m:oMath>
        <m:r>
          <w:rPr>
            <w:rFonts w:ascii="Cambria Math" w:hAnsi="Cambria Math" w:cs="Times New Roman"/>
            <w:sz w:val="24"/>
          </w:rPr>
          <m:t>ν=3</m:t>
        </m:r>
      </m:oMath>
      <w:r w:rsidRPr="008B5690">
        <w:rPr>
          <w:rFonts w:ascii="Times New Roman" w:hAnsi="Times New Roman" w:cs="Times New Roman"/>
          <w:sz w:val="24"/>
        </w:rPr>
        <w:t xml:space="preserve">) priors for </w:t>
      </w:r>
      <m:oMath>
        <m:r>
          <w:rPr>
            <w:rFonts w:ascii="Cambria Math" w:hAnsi="Cambria Math" w:cs="Times New Roman"/>
            <w:sz w:val="24"/>
          </w:rPr>
          <m:t xml:space="preserve">σ, </m:t>
        </m:r>
        <m:sSub>
          <m:sSubPr>
            <m:ctrlPr>
              <w:rPr>
                <w:rFonts w:ascii="Cambria Math" w:hAnsi="Cambria Math" w:cs="Times New Roman"/>
                <w:i/>
                <w:sz w:val="24"/>
              </w:rPr>
            </m:ctrlPr>
          </m:sSubPr>
          <m:e>
            <m:r>
              <w:rPr>
                <w:rFonts w:ascii="Cambria Math" w:hAnsi="Cambria Math" w:cs="Times New Roman"/>
                <w:sz w:val="24"/>
              </w:rPr>
              <m:t>σ</m:t>
            </m:r>
          </m:e>
          <m:sub>
            <m:r>
              <w:rPr>
                <w:rFonts w:ascii="Cambria Math" w:hAnsi="Cambria Math" w:cs="Times New Roman"/>
                <w:sz w:val="24"/>
              </w:rPr>
              <m:t>α, r</m:t>
            </m:r>
          </m:sub>
        </m:sSub>
        <m:r>
          <w:rPr>
            <w:rFonts w:ascii="Cambria Math" w:hAnsi="Cambria Math" w:cs="Times New Roman"/>
            <w:sz w:val="24"/>
          </w:rPr>
          <m:t xml:space="preserve">, </m:t>
        </m:r>
        <m:sSub>
          <m:sSubPr>
            <m:ctrlPr>
              <w:rPr>
                <w:rFonts w:ascii="Cambria Math" w:hAnsi="Cambria Math" w:cs="Times New Roman"/>
                <w:i/>
                <w:sz w:val="24"/>
              </w:rPr>
            </m:ctrlPr>
          </m:sSubPr>
          <m:e>
            <m:r>
              <w:rPr>
                <w:rFonts w:ascii="Cambria Math" w:hAnsi="Cambria Math" w:cs="Times New Roman"/>
                <w:sz w:val="24"/>
              </w:rPr>
              <m:t>σ</m:t>
            </m:r>
          </m:e>
          <m:sub>
            <m:r>
              <w:rPr>
                <w:rFonts w:ascii="Cambria Math" w:hAnsi="Cambria Math" w:cs="Times New Roman"/>
                <w:sz w:val="24"/>
              </w:rPr>
              <m:t>β, r</m:t>
            </m:r>
          </m:sub>
        </m:sSub>
        <m:sSub>
          <m:sSubPr>
            <m:ctrlPr>
              <w:rPr>
                <w:rFonts w:ascii="Cambria Math" w:hAnsi="Cambria Math" w:cs="Times New Roman"/>
                <w:i/>
                <w:sz w:val="24"/>
              </w:rPr>
            </m:ctrlPr>
          </m:sSubPr>
          <m:e>
            <m:r>
              <w:rPr>
                <w:rFonts w:ascii="Cambria Math" w:hAnsi="Cambria Math" w:cs="Times New Roman"/>
                <w:sz w:val="24"/>
              </w:rPr>
              <m:t>σ</m:t>
            </m:r>
          </m:e>
          <m:sub>
            <m:r>
              <w:rPr>
                <w:rFonts w:ascii="Cambria Math" w:hAnsi="Cambria Math" w:cs="Times New Roman"/>
                <w:sz w:val="24"/>
              </w:rPr>
              <m:t>θ</m:t>
            </m:r>
          </m:sub>
        </m:sSub>
      </m:oMath>
      <w:r w:rsidRPr="008B5690">
        <w:rPr>
          <w:rFonts w:ascii="Times New Roman" w:hAnsi="Times New Roman" w:cs="Times New Roman"/>
          <w:sz w:val="24"/>
        </w:rPr>
        <w:t xml:space="preserve">; and a Gamma-shifted prior for </w:t>
      </w:r>
      <m:oMath>
        <m:r>
          <w:rPr>
            <w:rFonts w:ascii="Cambria Math" w:hAnsi="Cambria Math" w:cs="Times New Roman"/>
            <w:sz w:val="24"/>
          </w:rPr>
          <m:t>ν</m:t>
        </m:r>
      </m:oMath>
      <w:r w:rsidRPr="008B5690">
        <w:rPr>
          <w:rFonts w:ascii="Times New Roman" w:hAnsi="Times New Roman" w:cs="Times New Roman"/>
          <w:sz w:val="24"/>
        </w:rPr>
        <w:t xml:space="preserve"> truncated to</w:t>
      </w:r>
      <w:r>
        <w:rPr>
          <w:rFonts w:ascii="Times New Roman" w:hAnsi="Times New Roman" w:cs="Times New Roman"/>
          <w:sz w:val="24"/>
        </w:rPr>
        <w:t xml:space="preserve"> </w:t>
      </w:r>
      <m:oMath>
        <m:r>
          <w:rPr>
            <w:rFonts w:ascii="Cambria Math" w:hAnsi="Cambria Math" w:cs="Times New Roman"/>
            <w:sz w:val="24"/>
          </w:rPr>
          <m:t>[2, 30]</m:t>
        </m:r>
      </m:oMath>
      <w:r>
        <w:rPr>
          <w:rFonts w:ascii="Times New Roman" w:hAnsi="Times New Roman" w:cs="Times New Roman"/>
          <w:sz w:val="24"/>
        </w:rPr>
        <w:t xml:space="preserve"> </w:t>
      </w:r>
      <w:r w:rsidRPr="008B5690">
        <w:rPr>
          <w:rFonts w:ascii="Times New Roman" w:hAnsi="Times New Roman" w:cs="Times New Roman"/>
          <w:sz w:val="24"/>
        </w:rPr>
        <w:t>for numerical stability.</w:t>
      </w:r>
    </w:p>
    <w:p w14:paraId="40D32FA8" w14:textId="7ABED75D" w:rsidR="00481BE2" w:rsidRPr="005F7ADD" w:rsidRDefault="00481BE2" w:rsidP="00481BE2">
      <w:pPr>
        <w:spacing w:line="480" w:lineRule="auto"/>
        <w:rPr>
          <w:rFonts w:ascii="Times New Roman" w:hAnsi="Times New Roman" w:cs="Times New Roman"/>
          <w:i/>
          <w:iCs/>
          <w:sz w:val="24"/>
        </w:rPr>
      </w:pPr>
      <w:r w:rsidRPr="005F7ADD">
        <w:rPr>
          <w:rFonts w:ascii="Times New Roman" w:hAnsi="Times New Roman" w:cs="Times New Roman"/>
          <w:i/>
          <w:iCs/>
          <w:sz w:val="24"/>
        </w:rPr>
        <w:t>Inference and Diagnostics</w:t>
      </w:r>
    </w:p>
    <w:p w14:paraId="232530C7" w14:textId="68AAE90E" w:rsidR="005F7ADD" w:rsidRPr="008B5690" w:rsidRDefault="008B5690" w:rsidP="00481BE2">
      <w:pPr>
        <w:spacing w:line="480" w:lineRule="auto"/>
        <w:rPr>
          <w:rFonts w:ascii="Times New Roman" w:hAnsi="Times New Roman" w:cs="Times New Roman"/>
          <w:sz w:val="24"/>
        </w:rPr>
      </w:pPr>
      <w:r w:rsidRPr="008B5690">
        <w:rPr>
          <w:rFonts w:ascii="Times New Roman" w:hAnsi="Times New Roman" w:cs="Times New Roman"/>
          <w:sz w:val="24"/>
        </w:rPr>
        <w:t xml:space="preserve">Models were fit in </w:t>
      </w:r>
      <w:proofErr w:type="spellStart"/>
      <w:r w:rsidRPr="008B5690">
        <w:rPr>
          <w:rFonts w:ascii="Times New Roman" w:hAnsi="Times New Roman" w:cs="Times New Roman"/>
          <w:sz w:val="24"/>
        </w:rPr>
        <w:t>PyMC</w:t>
      </w:r>
      <w:proofErr w:type="spellEnd"/>
      <w:r w:rsidRPr="008B5690">
        <w:rPr>
          <w:rFonts w:ascii="Times New Roman" w:hAnsi="Times New Roman" w:cs="Times New Roman"/>
          <w:sz w:val="24"/>
        </w:rPr>
        <w:t xml:space="preserve"> (v5.</w:t>
      </w:r>
      <w:r>
        <w:rPr>
          <w:rFonts w:ascii="Times New Roman" w:hAnsi="Times New Roman" w:cs="Times New Roman"/>
          <w:sz w:val="24"/>
        </w:rPr>
        <w:t>12</w:t>
      </w:r>
      <w:r w:rsidRPr="008B5690">
        <w:rPr>
          <w:rFonts w:ascii="Times New Roman" w:hAnsi="Times New Roman" w:cs="Times New Roman"/>
          <w:sz w:val="24"/>
        </w:rPr>
        <w:t>) with NUTS (</w:t>
      </w:r>
      <w:proofErr w:type="spellStart"/>
      <w:r w:rsidRPr="008B5690">
        <w:rPr>
          <w:rFonts w:ascii="Times New Roman" w:hAnsi="Times New Roman" w:cs="Times New Roman"/>
          <w:sz w:val="24"/>
        </w:rPr>
        <w:t>nutpie</w:t>
      </w:r>
      <w:proofErr w:type="spellEnd"/>
      <w:r w:rsidRPr="008B5690">
        <w:rPr>
          <w:rFonts w:ascii="Times New Roman" w:hAnsi="Times New Roman" w:cs="Times New Roman"/>
          <w:sz w:val="24"/>
        </w:rPr>
        <w:t>), four chains, 10</w:t>
      </w:r>
      <w:r>
        <w:rPr>
          <w:rFonts w:ascii="Times New Roman" w:hAnsi="Times New Roman" w:cs="Times New Roman"/>
          <w:sz w:val="24"/>
        </w:rPr>
        <w:t>,</w:t>
      </w:r>
      <w:r w:rsidRPr="008B5690">
        <w:rPr>
          <w:rFonts w:ascii="Times New Roman" w:hAnsi="Times New Roman" w:cs="Times New Roman"/>
          <w:sz w:val="24"/>
        </w:rPr>
        <w:t>000 post-warmup draws (5</w:t>
      </w:r>
      <w:r>
        <w:rPr>
          <w:rFonts w:ascii="Times New Roman" w:hAnsi="Times New Roman" w:cs="Times New Roman"/>
          <w:sz w:val="24"/>
        </w:rPr>
        <w:t>,</w:t>
      </w:r>
      <w:r w:rsidRPr="008B5690">
        <w:rPr>
          <w:rFonts w:ascii="Times New Roman" w:hAnsi="Times New Roman" w:cs="Times New Roman"/>
          <w:sz w:val="24"/>
        </w:rPr>
        <w:t xml:space="preserve">000 warmup), </w:t>
      </w:r>
      <w:proofErr w:type="spellStart"/>
      <w:r w:rsidRPr="008B5690">
        <w:rPr>
          <w:rFonts w:ascii="Times New Roman" w:hAnsi="Times New Roman" w:cs="Times New Roman"/>
          <w:sz w:val="24"/>
        </w:rPr>
        <w:t>target_accept</w:t>
      </w:r>
      <w:proofErr w:type="spellEnd"/>
      <w:r w:rsidRPr="008B5690">
        <w:rPr>
          <w:rFonts w:ascii="Times New Roman" w:hAnsi="Times New Roman" w:cs="Times New Roman"/>
          <w:sz w:val="24"/>
        </w:rPr>
        <w:t xml:space="preserve"> = 0.99. Convergence required </w:t>
      </w:r>
      <m:oMath>
        <m:acc>
          <m:accPr>
            <m:ctrlPr>
              <w:rPr>
                <w:rFonts w:ascii="Cambria Math" w:hAnsi="Cambria Math" w:cs="Times New Roman"/>
                <w:i/>
                <w:sz w:val="24"/>
              </w:rPr>
            </m:ctrlPr>
          </m:accPr>
          <m:e>
            <m:r>
              <w:rPr>
                <w:rFonts w:ascii="Cambria Math" w:hAnsi="Cambria Math" w:cs="Times New Roman"/>
                <w:sz w:val="24"/>
              </w:rPr>
              <m:t>R</m:t>
            </m:r>
          </m:e>
        </m:acc>
        <m:r>
          <w:rPr>
            <w:rFonts w:ascii="Cambria Math" w:hAnsi="Cambria Math" w:cs="Times New Roman"/>
            <w:sz w:val="24"/>
          </w:rPr>
          <m:t>≤1.01</m:t>
        </m:r>
      </m:oMath>
      <w:r w:rsidRPr="008B5690">
        <w:rPr>
          <w:rFonts w:ascii="Times New Roman" w:hAnsi="Times New Roman" w:cs="Times New Roman"/>
          <w:sz w:val="24"/>
        </w:rPr>
        <w:t xml:space="preserve"> and adequate bulk/tail ESS for all monitored parameters. Model adequacy was evaluated with posterior predictive checks and out-of-sample information criteria (LOO/WAIC).</w:t>
      </w:r>
    </w:p>
    <w:p w14:paraId="7F033F0F" w14:textId="35FC7B7A" w:rsidR="00481BE2" w:rsidRPr="005F7ADD" w:rsidRDefault="00481BE2" w:rsidP="00481BE2">
      <w:pPr>
        <w:spacing w:line="480" w:lineRule="auto"/>
        <w:rPr>
          <w:rFonts w:ascii="Times New Roman" w:hAnsi="Times New Roman" w:cs="Times New Roman"/>
          <w:i/>
          <w:iCs/>
          <w:sz w:val="24"/>
        </w:rPr>
      </w:pPr>
      <w:r w:rsidRPr="005F7ADD">
        <w:rPr>
          <w:rFonts w:ascii="Times New Roman" w:hAnsi="Times New Roman" w:cs="Times New Roman"/>
          <w:i/>
          <w:iCs/>
          <w:sz w:val="24"/>
        </w:rPr>
        <w:t>Scenario-Based GDP Forecasting</w:t>
      </w:r>
      <w:r w:rsidR="008B5690">
        <w:rPr>
          <w:rFonts w:ascii="Times New Roman" w:hAnsi="Times New Roman" w:cs="Times New Roman"/>
          <w:i/>
          <w:iCs/>
          <w:sz w:val="24"/>
        </w:rPr>
        <w:t xml:space="preserve"> (20</w:t>
      </w:r>
      <w:r w:rsidR="003C5106">
        <w:rPr>
          <w:rFonts w:ascii="Times New Roman" w:hAnsi="Times New Roman" w:cs="Times New Roman"/>
          <w:i/>
          <w:iCs/>
          <w:sz w:val="24"/>
        </w:rPr>
        <w:t>2</w:t>
      </w:r>
      <w:r w:rsidR="008B5690">
        <w:rPr>
          <w:rFonts w:ascii="Times New Roman" w:hAnsi="Times New Roman" w:cs="Times New Roman"/>
          <w:i/>
          <w:iCs/>
          <w:sz w:val="24"/>
        </w:rPr>
        <w:t>4–2100)</w:t>
      </w:r>
    </w:p>
    <w:p w14:paraId="709E5D71" w14:textId="77777777" w:rsidR="008B5690" w:rsidRDefault="008B5690" w:rsidP="00481BE2">
      <w:pPr>
        <w:spacing w:line="480" w:lineRule="auto"/>
        <w:rPr>
          <w:rFonts w:ascii="Times New Roman" w:hAnsi="Times New Roman" w:cs="Times New Roman"/>
          <w:sz w:val="24"/>
        </w:rPr>
      </w:pPr>
      <w:r w:rsidRPr="008B5690">
        <w:rPr>
          <w:rFonts w:ascii="Times New Roman" w:hAnsi="Times New Roman" w:cs="Times New Roman"/>
          <w:sz w:val="24"/>
        </w:rPr>
        <w:t>To avoid unstable level extrapolation, we used base-year anchoring (2023 or the latest available year): for each country,</w:t>
      </w:r>
    </w:p>
    <w:p w14:paraId="1CC191C8" w14:textId="5C81DFDF" w:rsidR="008B5690" w:rsidRDefault="00000000" w:rsidP="00481BE2">
      <w:pPr>
        <w:spacing w:line="480" w:lineRule="auto"/>
        <w:rPr>
          <w:rFonts w:ascii="Times New Roman" w:hAnsi="Times New Roman" w:cs="Times New Roman"/>
          <w:sz w:val="24"/>
        </w:rPr>
      </w:pPr>
      <m:oMathPara>
        <m:oMath>
          <m:func>
            <m:funcPr>
              <m:ctrlPr>
                <w:rPr>
                  <w:rFonts w:ascii="Cambria Math" w:hAnsi="Cambria Math" w:cs="Times New Roman"/>
                  <w:i/>
                  <w:sz w:val="24"/>
                </w:rPr>
              </m:ctrlPr>
            </m:funcPr>
            <m:fName>
              <m:sSub>
                <m:sSubPr>
                  <m:ctrlPr>
                    <w:rPr>
                      <w:rFonts w:ascii="Cambria Math" w:hAnsi="Cambria Math" w:cs="Times New Roman"/>
                      <w:i/>
                      <w:sz w:val="24"/>
                    </w:rPr>
                  </m:ctrlPr>
                </m:sSubPr>
                <m:e>
                  <m:r>
                    <m:rPr>
                      <m:sty m:val="p"/>
                    </m:rPr>
                    <w:rPr>
                      <w:rFonts w:ascii="Cambria Math" w:hAnsi="Cambria Math" w:cs="Times New Roman"/>
                      <w:sz w:val="24"/>
                    </w:rPr>
                    <m:t>log</m:t>
                  </m:r>
                </m:e>
                <m:sub>
                  <m:r>
                    <w:rPr>
                      <w:rFonts w:ascii="Cambria Math" w:hAnsi="Cambria Math" w:cs="Times New Roman"/>
                      <w:sz w:val="24"/>
                    </w:rPr>
                    <m:t>10</m:t>
                  </m:r>
                </m:sub>
              </m:sSub>
            </m:fName>
            <m:e>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GDP</m:t>
                  </m:r>
                </m:e>
                <m:sub>
                  <m:r>
                    <w:rPr>
                      <w:rFonts w:ascii="Cambria Math" w:hAnsi="Cambria Math" w:cs="Times New Roman"/>
                      <w:sz w:val="24"/>
                    </w:rPr>
                    <m:t>it</m:t>
                  </m:r>
                </m:sub>
              </m:sSub>
              <m:r>
                <w:rPr>
                  <w:rFonts w:ascii="Cambria Math" w:hAnsi="Cambria Math" w:cs="Times New Roman"/>
                  <w:sz w:val="24"/>
                </w:rPr>
                <m:t>)=</m:t>
              </m:r>
              <m:func>
                <m:funcPr>
                  <m:ctrlPr>
                    <w:rPr>
                      <w:rFonts w:ascii="Cambria Math" w:hAnsi="Cambria Math" w:cs="Times New Roman"/>
                      <w:i/>
                      <w:sz w:val="24"/>
                    </w:rPr>
                  </m:ctrlPr>
                </m:funcPr>
                <m:fName>
                  <m:sSub>
                    <m:sSubPr>
                      <m:ctrlPr>
                        <w:rPr>
                          <w:rFonts w:ascii="Cambria Math" w:hAnsi="Cambria Math" w:cs="Times New Roman"/>
                          <w:i/>
                          <w:sz w:val="24"/>
                        </w:rPr>
                      </m:ctrlPr>
                    </m:sSubPr>
                    <m:e>
                      <m:r>
                        <m:rPr>
                          <m:sty m:val="p"/>
                        </m:rPr>
                        <w:rPr>
                          <w:rFonts w:ascii="Cambria Math" w:hAnsi="Cambria Math" w:cs="Times New Roman"/>
                          <w:sz w:val="24"/>
                        </w:rPr>
                        <m:t>log</m:t>
                      </m:r>
                    </m:e>
                    <m:sub>
                      <m:r>
                        <w:rPr>
                          <w:rFonts w:ascii="Cambria Math" w:hAnsi="Cambria Math" w:cs="Times New Roman"/>
                          <w:sz w:val="24"/>
                        </w:rPr>
                        <m:t>10</m:t>
                      </m:r>
                    </m:sub>
                  </m:sSub>
                </m:fName>
                <m:e>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GDP</m:t>
                      </m:r>
                    </m:e>
                    <m:sub>
                      <m:r>
                        <w:rPr>
                          <w:rFonts w:ascii="Cambria Math" w:hAnsi="Cambria Math" w:cs="Times New Roman"/>
                          <w:sz w:val="24"/>
                        </w:rPr>
                        <m:t>i</m:t>
                      </m:r>
                    </m:sub>
                  </m:sSub>
                  <m:r>
                    <w:rPr>
                      <w:rFonts w:ascii="Cambria Math" w:hAnsi="Cambria Math" w:cs="Times New Roman"/>
                      <w:sz w:val="24"/>
                    </w:rPr>
                    <m:t>, base)+</m:t>
                  </m:r>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i</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it</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i0</m:t>
                      </m:r>
                    </m:sub>
                  </m:sSub>
                  <m:r>
                    <w:rPr>
                      <w:rFonts w:ascii="Cambria Math" w:hAnsi="Cambria Math" w:cs="Times New Roman"/>
                      <w:sz w:val="24"/>
                    </w:rPr>
                    <m:t>)+</m:t>
                  </m:r>
                  <m:sSubSup>
                    <m:sSubSupPr>
                      <m:ctrlPr>
                        <w:rPr>
                          <w:rFonts w:ascii="Cambria Math" w:hAnsi="Cambria Math" w:cs="Times New Roman"/>
                          <w:i/>
                          <w:sz w:val="24"/>
                        </w:rPr>
                      </m:ctrlPr>
                    </m:sSubSupPr>
                    <m:e>
                      <m:r>
                        <w:rPr>
                          <w:rFonts w:ascii="Cambria Math" w:hAnsi="Cambria Math" w:cs="Times New Roman"/>
                          <w:sz w:val="24"/>
                        </w:rPr>
                        <m:t>θ</m:t>
                      </m:r>
                    </m:e>
                    <m:sub>
                      <m:r>
                        <w:rPr>
                          <w:rFonts w:ascii="Cambria Math" w:hAnsi="Cambria Math" w:cs="Times New Roman"/>
                          <w:sz w:val="24"/>
                        </w:rPr>
                        <m:t>reg(i)</m:t>
                      </m:r>
                    </m:sub>
                    <m:sup>
                      <m:r>
                        <w:rPr>
                          <w:rFonts w:ascii="Cambria Math" w:hAnsi="Cambria Math" w:cs="Times New Roman"/>
                          <w:sz w:val="24"/>
                        </w:rPr>
                        <m:t>T</m:t>
                      </m:r>
                    </m:sup>
                  </m:sSubSup>
                </m:e>
              </m:func>
            </m:e>
          </m:func>
          <m:r>
            <w:rPr>
              <w:rFonts w:ascii="Cambria Math" w:hAnsi="Cambria Math" w:cs="Times New Roman"/>
              <w:sz w:val="24"/>
            </w:rPr>
            <m:t>[s(</m:t>
          </m:r>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it</m:t>
              </m:r>
            </m:sub>
          </m:sSub>
          <m:r>
            <w:rPr>
              <w:rFonts w:ascii="Cambria Math" w:hAnsi="Cambria Math" w:cs="Times New Roman"/>
              <w:sz w:val="24"/>
            </w:rPr>
            <m:t>)-s(</m:t>
          </m:r>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i0</m:t>
              </m:r>
            </m:sub>
          </m:sSub>
          <m:r>
            <w:rPr>
              <w:rFonts w:ascii="Cambria Math" w:hAnsi="Cambria Math" w:cs="Times New Roman"/>
              <w:sz w:val="24"/>
            </w:rPr>
            <m:t>)]</m:t>
          </m:r>
        </m:oMath>
      </m:oMathPara>
    </w:p>
    <w:p w14:paraId="35A8631E" w14:textId="0A328CDB" w:rsidR="002D5366" w:rsidRDefault="002D5366" w:rsidP="00481BE2">
      <w:pPr>
        <w:spacing w:line="480" w:lineRule="auto"/>
        <w:rPr>
          <w:rFonts w:ascii="Times New Roman" w:hAnsi="Times New Roman" w:cs="Times New Roman"/>
          <w:sz w:val="24"/>
        </w:rPr>
      </w:pPr>
      <w:r w:rsidRPr="002D5366">
        <w:rPr>
          <w:rFonts w:ascii="Times New Roman" w:hAnsi="Times New Roman" w:cs="Times New Roman"/>
          <w:sz w:val="24"/>
        </w:rPr>
        <w:lastRenderedPageBreak/>
        <w:t>The same knots were reused at forecast time. To avoid implausible extrapolation, we applied light regularization: a post-2085 taper that reduces population-driven deltas linearly to 60% by 2100, a time-varying soft floor/ceiling relative to the base level (</w:t>
      </w:r>
      <m:oMath>
        <m:r>
          <w:rPr>
            <w:rFonts w:ascii="Cambria Math" w:hAnsi="Cambria Math" w:cs="Times New Roman"/>
            <w:sz w:val="24"/>
          </w:rPr>
          <m:t>≈</m:t>
        </m:r>
      </m:oMath>
      <w:r w:rsidRPr="002D5366">
        <w:rPr>
          <w:rFonts w:ascii="Times New Roman" w:hAnsi="Times New Roman" w:cs="Times New Roman"/>
          <w:sz w:val="24"/>
        </w:rPr>
        <w:t>0.90</w:t>
      </w:r>
      <m:oMath>
        <m:r>
          <w:rPr>
            <w:rFonts w:ascii="Cambria Math" w:hAnsi="Cambria Math" w:cs="Times New Roman"/>
            <w:sz w:val="24"/>
          </w:rPr>
          <m:t>→</m:t>
        </m:r>
      </m:oMath>
      <w:r w:rsidRPr="002D5366">
        <w:rPr>
          <w:rFonts w:ascii="Times New Roman" w:hAnsi="Times New Roman" w:cs="Times New Roman"/>
          <w:sz w:val="24"/>
        </w:rPr>
        <w:t>0.80 pre-peak; 0.80</w:t>
      </w:r>
      <m:oMath>
        <m:r>
          <w:rPr>
            <w:rFonts w:ascii="Cambria Math" w:hAnsi="Cambria Math" w:cs="Times New Roman"/>
            <w:sz w:val="24"/>
          </w:rPr>
          <m:t>→</m:t>
        </m:r>
      </m:oMath>
      <w:r w:rsidRPr="002D5366">
        <w:rPr>
          <w:rFonts w:ascii="Times New Roman" w:hAnsi="Times New Roman" w:cs="Times New Roman"/>
          <w:sz w:val="24"/>
        </w:rPr>
        <w:t xml:space="preserve">0.50 post-peak; upper bound </w:t>
      </w:r>
      <m:oMath>
        <m:r>
          <w:rPr>
            <w:rFonts w:ascii="Cambria Math" w:hAnsi="Cambria Math" w:cs="Times New Roman"/>
            <w:sz w:val="24"/>
          </w:rPr>
          <m:t>≈</m:t>
        </m:r>
      </m:oMath>
      <w:r w:rsidRPr="002D5366">
        <w:rPr>
          <w:rFonts w:ascii="Times New Roman" w:hAnsi="Times New Roman" w:cs="Times New Roman"/>
          <w:sz w:val="24"/>
        </w:rPr>
        <w:t xml:space="preserve">4×), and mild clamping of </w:t>
      </w:r>
      <m:oMath>
        <m:r>
          <w:rPr>
            <w:rFonts w:ascii="Cambria Math" w:hAnsi="Cambria Math" w:cs="Times New Roman"/>
            <w:sz w:val="24"/>
          </w:rPr>
          <m:t>x</m:t>
        </m:r>
      </m:oMath>
      <w:r w:rsidRPr="002D5366">
        <w:rPr>
          <w:rFonts w:ascii="Times New Roman" w:hAnsi="Times New Roman" w:cs="Times New Roman"/>
          <w:sz w:val="24"/>
        </w:rPr>
        <w:t xml:space="preserve"> to a buffered historical envelope (</w:t>
      </w:r>
      <m:oMath>
        <m:r>
          <w:rPr>
            <w:rFonts w:ascii="Cambria Math" w:hAnsi="Cambria Math" w:cs="Times New Roman"/>
            <w:sz w:val="24"/>
          </w:rPr>
          <m:t>±</m:t>
        </m:r>
      </m:oMath>
      <w:r w:rsidRPr="002D5366">
        <w:rPr>
          <w:rFonts w:ascii="Times New Roman" w:hAnsi="Times New Roman" w:cs="Times New Roman"/>
          <w:sz w:val="24"/>
        </w:rPr>
        <w:t>0.25 dex). Posterior predictive trajectories were summarized by medians/95% HDIs per UN variant; variant pooling used random-effects meta-analysis on the log scale.</w:t>
      </w:r>
    </w:p>
    <w:p w14:paraId="7E59C8D1" w14:textId="5BED321D" w:rsidR="00481BE2" w:rsidRPr="005F7ADD" w:rsidRDefault="00481BE2" w:rsidP="00481BE2">
      <w:pPr>
        <w:spacing w:line="480" w:lineRule="auto"/>
        <w:rPr>
          <w:rFonts w:ascii="Times New Roman" w:hAnsi="Times New Roman" w:cs="Times New Roman"/>
          <w:i/>
          <w:iCs/>
          <w:sz w:val="24"/>
        </w:rPr>
      </w:pPr>
      <w:r w:rsidRPr="005F7ADD">
        <w:rPr>
          <w:rFonts w:ascii="Times New Roman" w:hAnsi="Times New Roman" w:cs="Times New Roman"/>
          <w:i/>
          <w:iCs/>
          <w:sz w:val="24"/>
        </w:rPr>
        <w:t>Software</w:t>
      </w:r>
    </w:p>
    <w:p w14:paraId="5579F70E" w14:textId="05FD23DD" w:rsidR="00481BE2" w:rsidRPr="00481BE2" w:rsidRDefault="008B5690" w:rsidP="00481BE2">
      <w:pPr>
        <w:spacing w:line="480" w:lineRule="auto"/>
        <w:rPr>
          <w:rFonts w:ascii="Times New Roman" w:hAnsi="Times New Roman" w:cs="Times New Roman"/>
          <w:sz w:val="24"/>
        </w:rPr>
      </w:pPr>
      <w:r w:rsidRPr="008B5690">
        <w:rPr>
          <w:rFonts w:ascii="Times New Roman" w:hAnsi="Times New Roman" w:cs="Times New Roman"/>
          <w:sz w:val="24"/>
        </w:rPr>
        <w:t>Analyses were conducted in Python 3.12 (</w:t>
      </w:r>
      <w:proofErr w:type="spellStart"/>
      <w:r w:rsidRPr="008B5690">
        <w:rPr>
          <w:rFonts w:ascii="Times New Roman" w:hAnsi="Times New Roman" w:cs="Times New Roman"/>
          <w:sz w:val="24"/>
        </w:rPr>
        <w:t>PyMC</w:t>
      </w:r>
      <w:proofErr w:type="spellEnd"/>
      <w:r w:rsidRPr="008B5690">
        <w:rPr>
          <w:rFonts w:ascii="Times New Roman" w:hAnsi="Times New Roman" w:cs="Times New Roman"/>
          <w:sz w:val="24"/>
        </w:rPr>
        <w:t xml:space="preserve"> 5.</w:t>
      </w:r>
      <w:r>
        <w:rPr>
          <w:rFonts w:ascii="Times New Roman" w:hAnsi="Times New Roman" w:cs="Times New Roman"/>
          <w:sz w:val="24"/>
        </w:rPr>
        <w:t>12</w:t>
      </w:r>
      <w:r w:rsidRPr="008B5690">
        <w:rPr>
          <w:rFonts w:ascii="Times New Roman" w:hAnsi="Times New Roman" w:cs="Times New Roman"/>
          <w:sz w:val="24"/>
        </w:rPr>
        <w:t xml:space="preserve">, </w:t>
      </w:r>
      <w:proofErr w:type="spellStart"/>
      <w:r w:rsidRPr="008B5690">
        <w:rPr>
          <w:rFonts w:ascii="Times New Roman" w:hAnsi="Times New Roman" w:cs="Times New Roman"/>
          <w:sz w:val="24"/>
        </w:rPr>
        <w:t>ArviZ</w:t>
      </w:r>
      <w:proofErr w:type="spellEnd"/>
      <w:r w:rsidRPr="008B5690">
        <w:rPr>
          <w:rFonts w:ascii="Times New Roman" w:hAnsi="Times New Roman" w:cs="Times New Roman"/>
          <w:sz w:val="24"/>
        </w:rPr>
        <w:t xml:space="preserve"> 0.21, NumPy 1.27, Pandas 2.2). Reproducible scripts are provided in the project repository.</w:t>
      </w:r>
    </w:p>
    <w:p w14:paraId="63AEF4A7" w14:textId="77777777" w:rsidR="00481BE2" w:rsidRDefault="00481BE2" w:rsidP="00EF063D">
      <w:pPr>
        <w:spacing w:line="480" w:lineRule="auto"/>
        <w:rPr>
          <w:rFonts w:ascii="Times New Roman" w:hAnsi="Times New Roman" w:cs="Times New Roman"/>
          <w:sz w:val="24"/>
        </w:rPr>
      </w:pPr>
    </w:p>
    <w:p w14:paraId="1DBDC23C" w14:textId="74CC1739" w:rsidR="0072546E" w:rsidRPr="00931A13" w:rsidRDefault="0072546E" w:rsidP="00EF063D">
      <w:pPr>
        <w:spacing w:line="480" w:lineRule="auto"/>
        <w:rPr>
          <w:rFonts w:ascii="Times New Roman" w:hAnsi="Times New Roman" w:cs="Times New Roman"/>
          <w:b/>
          <w:bCs/>
          <w:sz w:val="24"/>
        </w:rPr>
      </w:pPr>
      <w:r w:rsidRPr="00931A13">
        <w:rPr>
          <w:rFonts w:ascii="Times New Roman" w:hAnsi="Times New Roman" w:cs="Times New Roman" w:hint="eastAsia"/>
          <w:b/>
          <w:bCs/>
          <w:sz w:val="24"/>
        </w:rPr>
        <w:t>Result</w:t>
      </w:r>
    </w:p>
    <w:p w14:paraId="50E9E2B8" w14:textId="451EBA2A" w:rsidR="002802D1" w:rsidRPr="00D00567" w:rsidRDefault="002802D1" w:rsidP="002802D1">
      <w:pPr>
        <w:spacing w:line="480" w:lineRule="auto"/>
        <w:rPr>
          <w:rFonts w:ascii="Times New Roman" w:hAnsi="Times New Roman" w:cs="Times New Roman"/>
          <w:i/>
          <w:iCs/>
          <w:sz w:val="24"/>
        </w:rPr>
      </w:pPr>
      <w:r w:rsidRPr="00D00567">
        <w:rPr>
          <w:rFonts w:ascii="Times New Roman" w:hAnsi="Times New Roman" w:cs="Times New Roman"/>
          <w:i/>
          <w:iCs/>
          <w:sz w:val="24"/>
        </w:rPr>
        <w:t>Descriptive overview</w:t>
      </w:r>
    </w:p>
    <w:p w14:paraId="41D3E581" w14:textId="3212A445" w:rsidR="003E6698" w:rsidRPr="003E6698" w:rsidRDefault="00D91CC3" w:rsidP="002802D1">
      <w:pPr>
        <w:spacing w:line="480" w:lineRule="auto"/>
        <w:rPr>
          <w:rFonts w:ascii="Times New Roman" w:hAnsi="Times New Roman" w:cs="Times New Roman"/>
          <w:sz w:val="24"/>
        </w:rPr>
      </w:pPr>
      <w:r w:rsidRPr="00D91CC3">
        <w:rPr>
          <w:rFonts w:ascii="Times New Roman" w:hAnsi="Times New Roman" w:cs="Times New Roman"/>
          <w:sz w:val="24"/>
        </w:rPr>
        <w:t>The panel contained 10</w:t>
      </w:r>
      <w:r>
        <w:rPr>
          <w:rFonts w:ascii="Times New Roman" w:hAnsi="Times New Roman" w:cs="Times New Roman"/>
          <w:sz w:val="24"/>
        </w:rPr>
        <w:t>,</w:t>
      </w:r>
      <w:r w:rsidRPr="00D91CC3">
        <w:rPr>
          <w:rFonts w:ascii="Times New Roman" w:hAnsi="Times New Roman" w:cs="Times New Roman"/>
          <w:sz w:val="24"/>
        </w:rPr>
        <w:t xml:space="preserve">390 country–years for 180 countries, with mean (SD) </w:t>
      </w:r>
      <m:oMath>
        <m:func>
          <m:funcPr>
            <m:ctrlPr>
              <w:rPr>
                <w:rFonts w:ascii="Cambria Math" w:hAnsi="Cambria Math" w:cs="Times New Roman"/>
                <w:i/>
                <w:sz w:val="24"/>
              </w:rPr>
            </m:ctrlPr>
          </m:funcPr>
          <m:fName>
            <m:sSub>
              <m:sSubPr>
                <m:ctrlPr>
                  <w:rPr>
                    <w:rFonts w:ascii="Cambria Math" w:hAnsi="Cambria Math" w:cs="Times New Roman"/>
                    <w:i/>
                    <w:sz w:val="24"/>
                  </w:rPr>
                </m:ctrlPr>
              </m:sSubPr>
              <m:e>
                <m:r>
                  <m:rPr>
                    <m:sty m:val="p"/>
                  </m:rPr>
                  <w:rPr>
                    <w:rFonts w:ascii="Cambria Math" w:hAnsi="Cambria Math" w:cs="Times New Roman"/>
                    <w:sz w:val="24"/>
                  </w:rPr>
                  <m:t>log</m:t>
                </m:r>
              </m:e>
              <m:sub>
                <m:r>
                  <w:rPr>
                    <w:rFonts w:ascii="Cambria Math" w:hAnsi="Cambria Math" w:cs="Times New Roman"/>
                    <w:sz w:val="24"/>
                  </w:rPr>
                  <m:t>10</m:t>
                </m:r>
              </m:sub>
            </m:sSub>
          </m:fName>
          <m:e>
            <m:r>
              <w:rPr>
                <w:rFonts w:ascii="Cambria Math" w:hAnsi="Cambria Math" w:cs="Times New Roman"/>
                <w:sz w:val="24"/>
              </w:rPr>
              <m:t>Population</m:t>
            </m:r>
          </m:e>
        </m:func>
      </m:oMath>
      <w:r w:rsidRPr="00D91CC3">
        <w:rPr>
          <w:rFonts w:ascii="Times New Roman" w:hAnsi="Times New Roman" w:cs="Times New Roman"/>
          <w:sz w:val="24"/>
        </w:rPr>
        <w:t xml:space="preserve"> 7.04 (0.80) and </w:t>
      </w:r>
      <m:oMath>
        <m:func>
          <m:funcPr>
            <m:ctrlPr>
              <w:rPr>
                <w:rFonts w:ascii="Cambria Math" w:hAnsi="Cambria Math" w:cs="Times New Roman"/>
                <w:i/>
                <w:sz w:val="24"/>
              </w:rPr>
            </m:ctrlPr>
          </m:funcPr>
          <m:fName>
            <m:sSub>
              <m:sSubPr>
                <m:ctrlPr>
                  <w:rPr>
                    <w:rFonts w:ascii="Cambria Math" w:hAnsi="Cambria Math" w:cs="Times New Roman"/>
                    <w:i/>
                    <w:sz w:val="24"/>
                  </w:rPr>
                </m:ctrlPr>
              </m:sSubPr>
              <m:e>
                <m:r>
                  <m:rPr>
                    <m:sty m:val="p"/>
                  </m:rPr>
                  <w:rPr>
                    <w:rFonts w:ascii="Cambria Math" w:hAnsi="Cambria Math" w:cs="Times New Roman"/>
                    <w:sz w:val="24"/>
                  </w:rPr>
                  <m:t>log</m:t>
                </m:r>
              </m:e>
              <m:sub>
                <m:r>
                  <w:rPr>
                    <w:rFonts w:ascii="Cambria Math" w:hAnsi="Cambria Math" w:cs="Times New Roman"/>
                    <w:sz w:val="24"/>
                  </w:rPr>
                  <m:t>10</m:t>
                </m:r>
              </m:sub>
            </m:sSub>
          </m:fName>
          <m:e>
            <m:r>
              <w:rPr>
                <w:rFonts w:ascii="Cambria Math" w:hAnsi="Cambria Math" w:cs="Times New Roman"/>
                <w:sz w:val="24"/>
              </w:rPr>
              <m:t>GDP</m:t>
            </m:r>
          </m:e>
        </m:func>
      </m:oMath>
      <w:r w:rsidRPr="00D91CC3">
        <w:rPr>
          <w:rFonts w:ascii="Times New Roman" w:hAnsi="Times New Roman" w:cs="Times New Roman"/>
          <w:sz w:val="24"/>
        </w:rPr>
        <w:t xml:space="preserve"> 11.61 (1.25). Chains converged (</w:t>
      </w:r>
      <m:oMath>
        <m:acc>
          <m:accPr>
            <m:ctrlPr>
              <w:rPr>
                <w:rFonts w:ascii="Cambria Math" w:hAnsi="Cambria Math" w:cs="Times New Roman"/>
                <w:i/>
                <w:sz w:val="24"/>
              </w:rPr>
            </m:ctrlPr>
          </m:accPr>
          <m:e>
            <m:r>
              <w:rPr>
                <w:rFonts w:ascii="Cambria Math" w:hAnsi="Cambria Math" w:cs="Times New Roman"/>
                <w:sz w:val="24"/>
              </w:rPr>
              <m:t>R</m:t>
            </m:r>
          </m:e>
        </m:acc>
        <m:r>
          <w:rPr>
            <w:rFonts w:ascii="Cambria Math" w:hAnsi="Cambria Math" w:cs="Times New Roman"/>
            <w:sz w:val="24"/>
          </w:rPr>
          <m:t>≤1.01</m:t>
        </m:r>
      </m:oMath>
      <w:r w:rsidRPr="00D91CC3">
        <w:rPr>
          <w:rFonts w:ascii="Times New Roman" w:hAnsi="Times New Roman" w:cs="Times New Roman"/>
          <w:sz w:val="24"/>
        </w:rPr>
        <w:t>; median ESS &gt; 1</w:t>
      </w:r>
      <w:r>
        <w:rPr>
          <w:rFonts w:ascii="Times New Roman" w:hAnsi="Times New Roman" w:cs="Times New Roman"/>
          <w:sz w:val="24"/>
        </w:rPr>
        <w:t>,</w:t>
      </w:r>
      <w:r w:rsidRPr="00D91CC3">
        <w:rPr>
          <w:rFonts w:ascii="Times New Roman" w:hAnsi="Times New Roman" w:cs="Times New Roman"/>
          <w:sz w:val="24"/>
        </w:rPr>
        <w:t xml:space="preserve">200). Posterior predictive checks showed no material lack-of-fit (MAE </w:t>
      </w:r>
      <m:oMath>
        <m:r>
          <w:rPr>
            <w:rFonts w:ascii="Cambria Math" w:hAnsi="Cambria Math" w:cs="Times New Roman"/>
            <w:sz w:val="24"/>
          </w:rPr>
          <m:t>≈</m:t>
        </m:r>
      </m:oMath>
      <w:r w:rsidRPr="00D91CC3">
        <w:rPr>
          <w:rFonts w:ascii="Times New Roman" w:hAnsi="Times New Roman" w:cs="Times New Roman"/>
          <w:sz w:val="24"/>
        </w:rPr>
        <w:t xml:space="preserve"> 0.12 log units).</w:t>
      </w:r>
    </w:p>
    <w:p w14:paraId="5B45029A" w14:textId="6EA7D4D6" w:rsidR="00D17483" w:rsidRPr="00D00567" w:rsidRDefault="00D17483" w:rsidP="00D17483">
      <w:pPr>
        <w:spacing w:line="480" w:lineRule="auto"/>
        <w:rPr>
          <w:rFonts w:ascii="Times New Roman" w:hAnsi="Times New Roman" w:cs="Times New Roman"/>
          <w:i/>
          <w:iCs/>
          <w:sz w:val="24"/>
        </w:rPr>
      </w:pPr>
      <w:r w:rsidRPr="00D00567">
        <w:rPr>
          <w:rFonts w:ascii="Times New Roman" w:hAnsi="Times New Roman" w:cs="Times New Roman"/>
          <w:i/>
          <w:iCs/>
          <w:sz w:val="24"/>
        </w:rPr>
        <w:lastRenderedPageBreak/>
        <w:t>Posterior estimates</w:t>
      </w:r>
    </w:p>
    <w:p w14:paraId="7F845B60" w14:textId="3D7C89ED" w:rsidR="00D00567" w:rsidRPr="00D17483" w:rsidRDefault="00D91CC3" w:rsidP="00D17483">
      <w:pPr>
        <w:spacing w:line="480" w:lineRule="auto"/>
        <w:rPr>
          <w:rFonts w:ascii="Times New Roman" w:hAnsi="Times New Roman" w:cs="Times New Roman"/>
          <w:sz w:val="24"/>
        </w:rPr>
      </w:pPr>
      <w:r w:rsidRPr="00D91CC3">
        <w:rPr>
          <w:rFonts w:ascii="Times New Roman" w:hAnsi="Times New Roman" w:cs="Times New Roman"/>
          <w:sz w:val="24"/>
        </w:rPr>
        <w:t>The association between centered log-population and log-GDP was positive with mild non-linearity captured by the spline. Region-level variance components exceeded country-level components by roughly an order of magnitude, indicating pronounced macro-regional heterogeneity.</w:t>
      </w:r>
    </w:p>
    <w:p w14:paraId="23241E32" w14:textId="13B26F72" w:rsidR="00D17483" w:rsidRPr="00D00567" w:rsidRDefault="00D17483" w:rsidP="00D17483">
      <w:pPr>
        <w:spacing w:line="480" w:lineRule="auto"/>
        <w:rPr>
          <w:rFonts w:ascii="Times New Roman" w:hAnsi="Times New Roman" w:cs="Times New Roman"/>
          <w:i/>
          <w:iCs/>
          <w:sz w:val="24"/>
        </w:rPr>
      </w:pPr>
      <w:r w:rsidRPr="00D00567">
        <w:rPr>
          <w:rFonts w:ascii="Times New Roman" w:hAnsi="Times New Roman" w:cs="Times New Roman"/>
          <w:i/>
          <w:iCs/>
          <w:sz w:val="24"/>
        </w:rPr>
        <w:t>Scenario-specific GDP forecasts</w:t>
      </w:r>
    </w:p>
    <w:p w14:paraId="7FA4A62F" w14:textId="7EEFD82A" w:rsidR="003E6698" w:rsidRDefault="007F61AD" w:rsidP="00D17483">
      <w:pPr>
        <w:spacing w:line="480" w:lineRule="auto"/>
        <w:rPr>
          <w:rFonts w:ascii="Times New Roman" w:hAnsi="Times New Roman" w:cs="Times New Roman"/>
          <w:sz w:val="24"/>
        </w:rPr>
      </w:pPr>
      <w:r w:rsidRPr="007F61AD">
        <w:rPr>
          <w:rFonts w:ascii="Times New Roman" w:hAnsi="Times New Roman" w:cs="Times New Roman"/>
          <w:sz w:val="24"/>
        </w:rPr>
        <w:t xml:space="preserve">Combining posterior draws with eight UN variants yielded country-level paths through 2100. Pooled globally, the median GDP rises from </w:t>
      </w:r>
      <w:r w:rsidR="002D5366">
        <w:rPr>
          <w:rFonts w:ascii="Times New Roman" w:hAnsi="Times New Roman" w:cs="Times New Roman"/>
          <w:sz w:val="24"/>
        </w:rPr>
        <w:t xml:space="preserve">USD </w:t>
      </w:r>
      <w:r w:rsidRPr="007F61AD">
        <w:rPr>
          <w:rFonts w:ascii="Times New Roman" w:hAnsi="Times New Roman" w:cs="Times New Roman"/>
          <w:sz w:val="24"/>
        </w:rPr>
        <w:t>115</w:t>
      </w:r>
      <w:r w:rsidR="002D5366">
        <w:rPr>
          <w:rFonts w:ascii="Times New Roman" w:hAnsi="Times New Roman" w:cs="Times New Roman"/>
          <w:sz w:val="24"/>
        </w:rPr>
        <w:t xml:space="preserve"> trillion</w:t>
      </w:r>
      <w:r w:rsidRPr="007F61AD">
        <w:rPr>
          <w:rFonts w:ascii="Times New Roman" w:hAnsi="Times New Roman" w:cs="Times New Roman"/>
          <w:sz w:val="24"/>
        </w:rPr>
        <w:t xml:space="preserve"> in 2025 to </w:t>
      </w:r>
      <w:r w:rsidR="002D5366">
        <w:rPr>
          <w:rFonts w:ascii="Times New Roman" w:hAnsi="Times New Roman" w:cs="Times New Roman"/>
          <w:sz w:val="24"/>
        </w:rPr>
        <w:t xml:space="preserve">USD </w:t>
      </w:r>
      <w:r w:rsidRPr="007F61AD">
        <w:rPr>
          <w:rFonts w:ascii="Times New Roman" w:hAnsi="Times New Roman" w:cs="Times New Roman"/>
          <w:sz w:val="24"/>
        </w:rPr>
        <w:t>168</w:t>
      </w:r>
      <w:r w:rsidR="002D5366">
        <w:rPr>
          <w:rFonts w:ascii="Times New Roman" w:hAnsi="Times New Roman" w:cs="Times New Roman"/>
          <w:sz w:val="24"/>
        </w:rPr>
        <w:t xml:space="preserve"> trillion</w:t>
      </w:r>
      <w:r w:rsidRPr="007F61AD">
        <w:rPr>
          <w:rFonts w:ascii="Times New Roman" w:hAnsi="Times New Roman" w:cs="Times New Roman"/>
          <w:sz w:val="24"/>
        </w:rPr>
        <w:t xml:space="preserve"> in 2040, a cumulative increase of 38% (95% HDI 35–40%). The United States, China, and the United Kingdom remain the three largest economies in 2040 across variants. Between-variant heterogeneity contributes ~38% of global forecast variance, larger in low-income regions where fertility and migration diverge.</w:t>
      </w:r>
    </w:p>
    <w:p w14:paraId="0C8DC244" w14:textId="01686250" w:rsidR="003E6698" w:rsidRPr="003E6698" w:rsidRDefault="007F61AD" w:rsidP="00D17483">
      <w:pPr>
        <w:spacing w:line="480" w:lineRule="auto"/>
        <w:rPr>
          <w:rFonts w:ascii="Times New Roman" w:hAnsi="Times New Roman" w:cs="Times New Roman"/>
          <w:i/>
          <w:iCs/>
          <w:sz w:val="24"/>
        </w:rPr>
      </w:pPr>
      <w:r w:rsidRPr="007F61AD">
        <w:rPr>
          <w:rFonts w:ascii="Times New Roman" w:hAnsi="Times New Roman" w:cs="Times New Roman"/>
          <w:i/>
          <w:iCs/>
          <w:sz w:val="24"/>
        </w:rPr>
        <w:t>Sensitivity analyses</w:t>
      </w:r>
    </w:p>
    <w:p w14:paraId="10627E22" w14:textId="30B9CA79" w:rsidR="002802D1" w:rsidRDefault="007F61AD" w:rsidP="00EF063D">
      <w:pPr>
        <w:spacing w:line="480" w:lineRule="auto"/>
        <w:rPr>
          <w:rFonts w:ascii="Times New Roman" w:hAnsi="Times New Roman" w:cs="Times New Roman"/>
          <w:sz w:val="24"/>
        </w:rPr>
      </w:pPr>
      <w:r w:rsidRPr="007F61AD">
        <w:rPr>
          <w:rFonts w:ascii="Times New Roman" w:hAnsi="Times New Roman" w:cs="Times New Roman"/>
          <w:sz w:val="24"/>
        </w:rPr>
        <w:t xml:space="preserve">Results were robust to normal-likelihood substitution, excluding countries with sparse histories (&lt; 30 observations), and modest changes to the taper and plausibility bounds; global medians shifted by </w:t>
      </w:r>
      <m:oMath>
        <m:r>
          <w:rPr>
            <w:rFonts w:ascii="Cambria Math" w:hAnsi="Cambria Math" w:cs="Times New Roman"/>
            <w:sz w:val="24"/>
          </w:rPr>
          <m:t>≤</m:t>
        </m:r>
      </m:oMath>
      <w:r w:rsidRPr="007F61AD">
        <w:rPr>
          <w:rFonts w:ascii="Times New Roman" w:hAnsi="Times New Roman" w:cs="Times New Roman"/>
          <w:sz w:val="24"/>
        </w:rPr>
        <w:t xml:space="preserve"> 2–3%.</w:t>
      </w:r>
    </w:p>
    <w:p w14:paraId="0E0DFF2E" w14:textId="77777777" w:rsidR="003E6698" w:rsidRDefault="003E6698" w:rsidP="00EF063D">
      <w:pPr>
        <w:spacing w:line="480" w:lineRule="auto"/>
        <w:rPr>
          <w:rFonts w:ascii="Times New Roman" w:hAnsi="Times New Roman" w:cs="Times New Roman"/>
          <w:sz w:val="24"/>
        </w:rPr>
      </w:pPr>
    </w:p>
    <w:p w14:paraId="2AE3A0D8" w14:textId="77777777" w:rsidR="00D4004C" w:rsidRDefault="00F25099" w:rsidP="00E94EDB">
      <w:pPr>
        <w:spacing w:line="480" w:lineRule="auto"/>
        <w:rPr>
          <w:rFonts w:ascii="Times New Roman" w:hAnsi="Times New Roman" w:cs="Times New Roman"/>
          <w:sz w:val="24"/>
        </w:rPr>
      </w:pPr>
      <w:r w:rsidRPr="00E94EDB">
        <w:rPr>
          <w:rFonts w:ascii="Times New Roman" w:hAnsi="Times New Roman" w:cs="Times New Roman" w:hint="eastAsia"/>
          <w:b/>
          <w:bCs/>
          <w:sz w:val="24"/>
        </w:rPr>
        <w:lastRenderedPageBreak/>
        <w:t>Discussion</w:t>
      </w:r>
      <w:r w:rsidR="00E94EDB" w:rsidRPr="00E94EDB">
        <w:rPr>
          <w:rFonts w:ascii="Times New Roman" w:hAnsi="Times New Roman" w:cs="Times New Roman"/>
          <w:sz w:val="24"/>
        </w:rPr>
        <w:br/>
      </w:r>
      <w:r w:rsidR="00D4004C" w:rsidRPr="00D4004C">
        <w:rPr>
          <w:rFonts w:ascii="Times New Roman" w:hAnsi="Times New Roman" w:cs="Times New Roman"/>
          <w:sz w:val="24"/>
        </w:rPr>
        <w:t>Centered log-population showed a positive association with log-GDP, with mild non-linearity captured by the spline and substantial regional heterogeneity. Fit was adequate (MAE ≈ 0.12 log units). Predictive performance was comparable to a linear alternative (WAIC ΔELPD ≈ 6.4; SE 163.7), while the RCS specification yielded stable extrapolations. Scenario-pooled forecasts suggest global GDP rises by ≈38% (95% HDI 35–40%) from 2025 to 2040.</w:t>
      </w:r>
    </w:p>
    <w:p w14:paraId="4869FDB2" w14:textId="45DA3FD3" w:rsidR="00D4004C" w:rsidRDefault="00D4004C" w:rsidP="00D4004C">
      <w:pPr>
        <w:spacing w:line="480" w:lineRule="auto"/>
        <w:rPr>
          <w:rFonts w:ascii="Times New Roman" w:hAnsi="Times New Roman" w:cs="Times New Roman"/>
          <w:sz w:val="24"/>
        </w:rPr>
      </w:pPr>
      <w:r>
        <w:rPr>
          <w:rFonts w:ascii="Times New Roman" w:hAnsi="Times New Roman" w:cs="Times New Roman"/>
          <w:sz w:val="24"/>
        </w:rPr>
        <w:tab/>
      </w:r>
      <w:r w:rsidRPr="00D4004C">
        <w:rPr>
          <w:rFonts w:ascii="Times New Roman" w:hAnsi="Times New Roman" w:cs="Times New Roman"/>
          <w:sz w:val="24"/>
        </w:rPr>
        <w:t xml:space="preserve">Our pooled, probabilistic estimates align with classic demographic-growth frameworks that find positive but context-dependent effects of population on output </w:t>
      </w:r>
      <w:r w:rsidR="00226D7C">
        <w:rPr>
          <w:rFonts w:ascii="Times New Roman" w:hAnsi="Times New Roman" w:cs="Times New Roman"/>
          <w:sz w:val="24"/>
        </w:rPr>
        <w:fldChar w:fldCharType="begin">
          <w:fldData xml:space="preserve">PEVuZE5vdGU+PENpdGU+PEF1dGhvcj5CbG9vbTwvQXV0aG9yPjxZZWFyPjIwMDk8L1llYXI+PFJl
Y051bT45MzE8L1JlY051bT48RGlzcGxheVRleHQ+PHN0eWxlIGZhY2U9InN1cGVyc2NyaXB0Ij4x
LDI8L3N0eWxlPjwvRGlzcGxheVRleHQ+PHJlY29yZD48cmVjLWd1aWQ+YWU2MzdhMzUtNWQzYy00
YjYwLWE2NzQtOWQzYzYxYjJmNzNmPC9yZWMtZ3VpZD48cmVjLW51bWJlcj45MzE8L3JlYy1udW1i
ZXI+PGZvcmVpZ24ta2V5cz48a2V5IGFwcD0iRU4iIGRiLWlkPSIwNXg5YXhwenN6NXR3YWV3NXMw
NTAwdHI5MHp6ZmVweGV4dGUiIHRpbWVzdGFtcD0iMTc1MDc1MzAzMiIgZ3VpZD0iYWU2MzdhMzUt
NWQzYy00YjYwLWE2NzQtOWQzYzYxYjJmNzNmIj45MzE8L2tleT48L2ZvcmVpZ24ta2V5cz48cmVm
LXR5cGUgbmFtZT0iSm91cm5hbCBBcnRpY2xlIj4xNzwvcmVmLXR5cGU+PGNvbnRyaWJ1dG9ycz48
YXV0aG9ycz48YXV0aG9yPkJsb29tLCBEYXZpZCBFLjwvYXV0aG9yPjxhdXRob3I+RmlubGF5LCBK
b2NlbHluIEUuPC9hdXRob3I+PC9hdXRob3JzPjwvY29udHJpYnV0b3JzPjx0aXRsZXM+PHRpdGxl
PkRlbW9ncmFwaGljIENoYW5nZSBhbmQgRWNvbm9taWMgR3Jvd3RoIGluIEFzaWE8L3RpdGxlPjxz
ZWNvbmRhcnktdGl0bGU+QXNpYW4gRWNvbm9taWMgUG9saWN5IFJldmlldzwvc2Vjb25kYXJ5LXRp
dGxlPjwvdGl0bGVzPjxwZXJpb2RpY2FsPjxmdWxsLXRpdGxlPkFzaWFuIEVjb25vbWljIFBvbGlj
eSBSZXZpZXc8L2Z1bGwtdGl0bGU+PC9wZXJpb2RpY2FsPjxwYWdlcz40NS02NDwvcGFnZXM+PHZv
bHVtZT40PC92b2x1bWU+PG51bWJlcj4xPC9udW1iZXI+PHNlY3Rpb24+NDU8L3NlY3Rpb24+PGRh
dGVzPjx5ZWFyPjIwMDk8L3llYXI+PC9kYXRlcz48aXNibj4xODMyLTgxMDUmI3hEOzE3NDgtMzEz
MTwvaXNibj48ZWxlY3Ryb25pYy1yZXNvdXJjZS1udW0+MTAuMTExMS9qLjE3NDgtMzEzMS4yMDA5
LjAxMTA2Lng8L2VsZWN0cm9uaWMtcmVzb3VyY2UtbnVtPjwvcmVjb3JkPjwvQ2l0ZT48Q2l0ZT48
QXV0aG9yPkxlZTwvQXV0aG9yPjxZZWFyPjIwMTA8L1llYXI+PFJlY051bT45MzI8L1JlY051bT48
cmVjb3JkPjxyZWMtZ3VpZD5kOWFiYTEyZi0yODUzLTRlYmUtOGE3ZC1hY2M1OWI0MDM4OGM8L3Jl
Yy1ndWlkPjxyZWMtbnVtYmVyPjkzMjwvcmVjLW51bWJlcj48Zm9yZWlnbi1rZXlzPjxrZXkgYXBw
PSJFTiIgZGItaWQ9IjA1eDlheHB6c3o1dHdhZXc1czA1MDB0cjkwenpmZXB4ZXh0ZSIgdGltZXN0
YW1wPSIxNzUwNzUzMDY5IiBndWlkPSJkOWFiYTEyZi0yODUzLTRlYmUtOGE3ZC1hY2M1OWI0MDM4
OGMiPjkzMjwva2V5PjwvZm9yZWlnbi1rZXlzPjxyZWYtdHlwZSBuYW1lPSJKb3VybmFsIEFydGlj
bGUiPjE3PC9yZWYtdHlwZT48Y29udHJpYnV0b3JzPjxhdXRob3JzPjxhdXRob3I+TGVlLCBSb25h
bGQ8L2F1dGhvcj48YXV0aG9yPk1hc29uLCBBbmRyZXc8L2F1dGhvcj48L2F1dGhvcnM+PC9jb250
cmlidXRvcnM+PHRpdGxlcz48dGl0bGU+U29tZSBtYWNyb2Vjb25vbWljIGFzcGVjdHMgb2YgZ2xv
YmFsIHBvcHVsYXRpb24gYWdpbmc8L3RpdGxlPjxzZWNvbmRhcnktdGl0bGU+RGVtb2dyYXBoeTwv
c2Vjb25kYXJ5LXRpdGxlPjwvdGl0bGVzPjxwZXJpb2RpY2FsPjxmdWxsLXRpdGxlPkRlbW9ncmFw
aHk8L2Z1bGwtdGl0bGU+PC9wZXJpb2RpY2FsPjxwYWdlcz5TMTUxLVMxNzI8L3BhZ2VzPjx2b2x1
bWU+NDc8L3ZvbHVtZT48bnVtYmVyPlN1cHBsIDE8L251bWJlcj48c2VjdGlvbj5TMTUxPC9zZWN0
aW9uPjxkYXRlcz48eWVhcj4yMDEwPC95ZWFyPjwvZGF0ZXM+PGlzYm4+MDA3MC0zMzcwJiN4RDsx
NTMzLTc3OTA8L2lzYm4+PGVsZWN0cm9uaWMtcmVzb3VyY2UtbnVtPjEwLjEzNTMvZGVtLjIwMTAu
MDAwMjwvZWxlY3Ryb25pYy1yZXNvdXJjZS1udW0+PC9yZWNvcmQ+PC9DaXRlPjwvRW5kTm90ZT4A
</w:fldData>
        </w:fldChar>
      </w:r>
      <w:r w:rsidR="00226D7C">
        <w:rPr>
          <w:rFonts w:ascii="Times New Roman" w:hAnsi="Times New Roman" w:cs="Times New Roman"/>
          <w:sz w:val="24"/>
        </w:rPr>
        <w:instrText xml:space="preserve"> ADDIN EN.JS.CITE </w:instrText>
      </w:r>
      <w:r w:rsidR="00226D7C">
        <w:rPr>
          <w:rFonts w:ascii="Times New Roman" w:hAnsi="Times New Roman" w:cs="Times New Roman"/>
          <w:sz w:val="24"/>
        </w:rPr>
      </w:r>
      <w:r w:rsidR="00226D7C">
        <w:rPr>
          <w:rFonts w:ascii="Times New Roman" w:hAnsi="Times New Roman" w:cs="Times New Roman"/>
          <w:sz w:val="24"/>
        </w:rPr>
        <w:fldChar w:fldCharType="separate"/>
      </w:r>
      <w:r w:rsidR="00226D7C" w:rsidRPr="00226D7C">
        <w:rPr>
          <w:rFonts w:ascii="Times New Roman" w:hAnsi="Times New Roman" w:cs="Times New Roman"/>
          <w:noProof/>
          <w:sz w:val="24"/>
          <w:vertAlign w:val="superscript"/>
        </w:rPr>
        <w:t>1,2</w:t>
      </w:r>
      <w:r w:rsidR="00226D7C">
        <w:rPr>
          <w:rFonts w:ascii="Times New Roman" w:hAnsi="Times New Roman" w:cs="Times New Roman"/>
          <w:sz w:val="24"/>
        </w:rPr>
        <w:fldChar w:fldCharType="end"/>
      </w:r>
      <w:r w:rsidRPr="00D4004C">
        <w:rPr>
          <w:rFonts w:ascii="Times New Roman" w:hAnsi="Times New Roman" w:cs="Times New Roman"/>
          <w:sz w:val="24"/>
        </w:rPr>
        <w:t xml:space="preserve"> and with meta-analytic evidence that published elasticities vary with model choices and controls </w:t>
      </w:r>
      <w:r w:rsidR="00226D7C">
        <w:rPr>
          <w:rFonts w:ascii="Times New Roman" w:hAnsi="Times New Roman" w:cs="Times New Roman"/>
          <w:sz w:val="24"/>
        </w:rPr>
        <w:fldChar w:fldCharType="begin">
          <w:fldData xml:space="preserve">PEVuZE5vdGU+PENpdGU+PEF1dGhvcj5IZWFkZXk8L0F1dGhvcj48WWVhcj4yMDA5PC9ZZWFyPjxS
ZWNOdW0+OTM0PC9SZWNOdW0+PERpc3BsYXlUZXh0PjxzdHlsZSBmYWNlPSJzdXBlcnNjcmlwdCI+
NDwvc3R5bGU+PC9EaXNwbGF5VGV4dD48cmVjb3JkPjxyZWMtZ3VpZD5iMjJjMWM1Yy0zZTkxLTRj
MjUtODE4My1hMjAzMGI0YzZhOGM8L3JlYy1ndWlkPjxyZWMtbnVtYmVyPjkzNDwvcmVjLW51bWJl
cj48Zm9yZWlnbi1rZXlzPjxrZXkgYXBwPSJFTiIgZGItaWQ9IjA1eDlheHB6c3o1dHdhZXc1czA1
MDB0cjkwenpmZXB4ZXh0ZSIgdGltZXN0YW1wPSIxNzUwNzUzMjIzIiBndWlkPSJiMjJjMWM1Yy0z
ZTkxLTRjMjUtODE4My1hMjAzMGI0YzZhOGMiPjkzNDwva2V5PjwvZm9yZWlnbi1rZXlzPjxyZWYt
dHlwZSBuYW1lPSJKb3VybmFsIEFydGljbGUiPjE3PC9yZWYtdHlwZT48Y29udHJpYnV0b3JzPjxh
dXRob3JzPjxhdXRob3I+SGVhZGV5LCBEZXJlayBELjwvYXV0aG9yPjxhdXRob3I+SG9kZ2UsIEFu
ZHJldzwvYXV0aG9yPjwvYXV0aG9ycz48L2NvbnRyaWJ1dG9ycz48dGl0bGVzPjx0aXRsZT5UaGUg
RWZmZWN0IG9mIFBvcHVsYXRpb24gR3Jvd3RoIG9uIEVjb25vbWljIEdyb3d0aDogQSBNZXRh4oCQ
UmVncmVzc2lvbiBBbmFseXNpcyBvZiB0aGUgTWFjcm9lY29ub21pYyBMaXRlcmF0dXJlPC90aXRs
ZT48c2Vjb25kYXJ5LXRpdGxlPlBvcHVsYXRpb24gYW5kIERldmVsb3BtZW50IFJldmlldzwvc2Vj
b25kYXJ5LXRpdGxlPjwvdGl0bGVzPjxwZXJpb2RpY2FsPjxmdWxsLXRpdGxlPlBvcHVsYXRpb24g
YW5kIERldmVsb3BtZW50IFJldmlldzwvZnVsbC10aXRsZT48L3BlcmlvZGljYWw+PHBhZ2VzPjIy
MS0yNDg8L3BhZ2VzPjx2b2x1bWU+MzU8L3ZvbHVtZT48bnVtYmVyPjI8L251bWJlcj48c2VjdGlv
bj4yMjE8L3NlY3Rpb24+PGRhdGVzPjx5ZWFyPjIwMDk8L3llYXI+PC9kYXRlcz48aXNibj4wMDk4
LTc5MjEmI3hEOzE3MjgtNDQ1NzwvaXNibj48ZWxlY3Ryb25pYy1yZXNvdXJjZS1udW0+MTAuMTEx
MS9qLjE3MjgtNDQ1Ny4yMDA5LjAwMjc0Lng8L2VsZWN0cm9uaWMtcmVzb3VyY2UtbnVtPjwvcmVj
b3JkPjwvQ2l0ZT48L0VuZE5vdGU+
</w:fldData>
        </w:fldChar>
      </w:r>
      <w:r w:rsidR="00226D7C">
        <w:rPr>
          <w:rFonts w:ascii="Times New Roman" w:hAnsi="Times New Roman" w:cs="Times New Roman"/>
          <w:sz w:val="24"/>
        </w:rPr>
        <w:instrText xml:space="preserve"> ADDIN EN.JS.CITE </w:instrText>
      </w:r>
      <w:r w:rsidR="00226D7C">
        <w:rPr>
          <w:rFonts w:ascii="Times New Roman" w:hAnsi="Times New Roman" w:cs="Times New Roman"/>
          <w:sz w:val="24"/>
        </w:rPr>
      </w:r>
      <w:r w:rsidR="00226D7C">
        <w:rPr>
          <w:rFonts w:ascii="Times New Roman" w:hAnsi="Times New Roman" w:cs="Times New Roman"/>
          <w:sz w:val="24"/>
        </w:rPr>
        <w:fldChar w:fldCharType="separate"/>
      </w:r>
      <w:r w:rsidR="00226D7C" w:rsidRPr="00226D7C">
        <w:rPr>
          <w:rFonts w:ascii="Times New Roman" w:hAnsi="Times New Roman" w:cs="Times New Roman"/>
          <w:noProof/>
          <w:sz w:val="24"/>
          <w:vertAlign w:val="superscript"/>
        </w:rPr>
        <w:t>4</w:t>
      </w:r>
      <w:r w:rsidR="00226D7C">
        <w:rPr>
          <w:rFonts w:ascii="Times New Roman" w:hAnsi="Times New Roman" w:cs="Times New Roman"/>
          <w:sz w:val="24"/>
        </w:rPr>
        <w:fldChar w:fldCharType="end"/>
      </w:r>
      <w:r w:rsidRPr="00D4004C">
        <w:rPr>
          <w:rFonts w:ascii="Times New Roman" w:hAnsi="Times New Roman" w:cs="Times New Roman"/>
          <w:sz w:val="24"/>
        </w:rPr>
        <w:t xml:space="preserve">. Unlike earlier cross-sections and linear panels reporting mixed signs </w:t>
      </w:r>
      <w:r w:rsidR="00226D7C">
        <w:rPr>
          <w:rFonts w:ascii="Times New Roman" w:hAnsi="Times New Roman" w:cs="Times New Roman"/>
          <w:sz w:val="24"/>
        </w:rPr>
        <w:fldChar w:fldCharType="begin">
          <w:fldData xml:space="preserve">PEVuZE5vdGU+PENpdGU+PEF1dGhvcj5LZWxsZXk8L0F1dGhvcj48WWVhcj4xOTk1PC9ZZWFyPjxS
ZWNOdW0+OTMzPC9SZWNOdW0+PERpc3BsYXlUZXh0PjxzdHlsZSBmYWNlPSJzdXBlcnNjcmlwdCI+
Mzwvc3R5bGU+PC9EaXNwbGF5VGV4dD48cmVjb3JkPjxyZWMtZ3VpZD4zOTQ3N2JkNy03YTU3LTRi
OWMtYWQ4Zi03YjBkMTg2MDNiMWM8L3JlYy1ndWlkPjxyZWMtbnVtYmVyPjkzMzwvcmVjLW51bWJl
cj48Zm9yZWlnbi1rZXlzPjxrZXkgYXBwPSJFTiIgZGItaWQ9IjA1eDlheHB6c3o1dHdhZXc1czA1
MDB0cjkwenpmZXB4ZXh0ZSIgdGltZXN0YW1wPSIxNzUwNzUzMTE2IiBndWlkPSIzOTQ3N2JkNy03
YTU3LTRiOWMtYWQ4Zi03YjBkMTg2MDNiMWMiPjkzMzwva2V5PjwvZm9yZWlnbi1rZXlzPjxyZWYt
dHlwZSBuYW1lPSJKb3VybmFsIEFydGljbGUiPjE3PC9yZWYtdHlwZT48Y29udHJpYnV0b3JzPjxh
dXRob3JzPjxhdXRob3I+S2VsbGV5LCBBbGxlbiBDLjwvYXV0aG9yPjxhdXRob3I+U2NobWlkdCwg
Um9iZXJ0IE0uPC9hdXRob3I+PC9hdXRob3JzPjwvY29udHJpYnV0b3JzPjx0aXRsZXM+PHRpdGxl
PkFnZ3JlZ2F0ZSBQb3B1bGF0aW9uIGFuZCBFY29ub21pYyBHcm93dGggQ29ycmVsYXRpb25zOiBU
aGUgUm9sZSBvZiB0aGUgQ29tcG9uZW50cyBvZiBEZW1vZ3JhcGhpYyBDaGFuZ2U8L3RpdGxlPjxz
ZWNvbmRhcnktdGl0bGU+RGVtb2dyYXBoeTwvc2Vjb25kYXJ5LXRpdGxlPjwvdGl0bGVzPjxwZXJp
b2RpY2FsPjxmdWxsLXRpdGxlPkRlbW9ncmFwaHk8L2Z1bGwtdGl0bGU+PC9wZXJpb2RpY2FsPjxw
YWdlcz41NDMtNTU1PC9wYWdlcz48dm9sdW1lPjMyPC92b2x1bWU+PG51bWJlcj40PC9udW1iZXI+
PHNlY3Rpb24+NTQzPC9zZWN0aW9uPjxkYXRlcz48eWVhcj4xOTk1PC95ZWFyPjwvZGF0ZXM+PGlz
Ym4+MDA3MC0zMzcwJiN4RDsxNTMzLTc3OTA8L2lzYm4+PGVsZWN0cm9uaWMtcmVzb3VyY2UtbnVt
PjEwLjIzMDcvMjA2MTY3NDwvZWxlY3Ryb25pYy1yZXNvdXJjZS1udW0+PC9yZWNvcmQ+PC9DaXRl
PjwvRW5kTm90ZT4A
</w:fldData>
        </w:fldChar>
      </w:r>
      <w:r w:rsidR="00226D7C">
        <w:rPr>
          <w:rFonts w:ascii="Times New Roman" w:hAnsi="Times New Roman" w:cs="Times New Roman"/>
          <w:sz w:val="24"/>
        </w:rPr>
        <w:instrText xml:space="preserve"> ADDIN EN.JS.CITE </w:instrText>
      </w:r>
      <w:r w:rsidR="00226D7C">
        <w:rPr>
          <w:rFonts w:ascii="Times New Roman" w:hAnsi="Times New Roman" w:cs="Times New Roman"/>
          <w:sz w:val="24"/>
        </w:rPr>
      </w:r>
      <w:r w:rsidR="00226D7C">
        <w:rPr>
          <w:rFonts w:ascii="Times New Roman" w:hAnsi="Times New Roman" w:cs="Times New Roman"/>
          <w:sz w:val="24"/>
        </w:rPr>
        <w:fldChar w:fldCharType="separate"/>
      </w:r>
      <w:r w:rsidR="00226D7C" w:rsidRPr="00226D7C">
        <w:rPr>
          <w:rFonts w:ascii="Times New Roman" w:hAnsi="Times New Roman" w:cs="Times New Roman"/>
          <w:noProof/>
          <w:sz w:val="24"/>
          <w:vertAlign w:val="superscript"/>
        </w:rPr>
        <w:t>3</w:t>
      </w:r>
      <w:r w:rsidR="00226D7C">
        <w:rPr>
          <w:rFonts w:ascii="Times New Roman" w:hAnsi="Times New Roman" w:cs="Times New Roman"/>
          <w:sz w:val="24"/>
        </w:rPr>
        <w:fldChar w:fldCharType="end"/>
      </w:r>
      <w:r w:rsidRPr="00D4004C">
        <w:rPr>
          <w:rFonts w:ascii="Times New Roman" w:hAnsi="Times New Roman" w:cs="Times New Roman"/>
          <w:sz w:val="24"/>
        </w:rPr>
        <w:t xml:space="preserve">, we allow smooth curvature while enforcing linear tails, avoiding the late-century inflation seen with polynomials. Compared with recent ML forecasts that emphasize accuracy over interpretability </w:t>
      </w:r>
      <w:r w:rsidR="00226D7C">
        <w:rPr>
          <w:rFonts w:ascii="Times New Roman" w:hAnsi="Times New Roman" w:cs="Times New Roman"/>
          <w:sz w:val="24"/>
        </w:rPr>
        <w:fldChar w:fldCharType="begin">
          <w:fldData xml:space="preserve">PEVuZE5vdGU+PENpdGU+PEF1dGhvcj5BbmlsIEFyaTwvQXV0aG9yPjxZZWFyPjIwMjI8L1llYXI+
PFJlY051bT45MzU8L1JlY051bT48RGlzcGxheVRleHQ+PHN0eWxlIGZhY2U9InN1cGVyc2NyaXB0
Ij41PC9zdHlsZT48L0Rpc3BsYXlUZXh0PjxyZWNvcmQ+PHJlYy1ndWlkPjZhNTY0ZDhjLWJhZWIt
NGQ5Zi1hMDYzLWNhOWRlNzA1ZTViZDwvcmVjLWd1aWQ+PHJlYy1udW1iZXI+OTM1PC9yZWMtbnVt
YmVyPjxmb3JlaWduLWtleXM+PGtleSBhcHA9IkVOIiBkYi1pZD0iMDV4OWF4cHpzejV0d2FldzVz
MDUwMHRyOTB6emZlcHhleHRlIiB0aW1lc3RhbXA9IjE3NTA3NTQyMTUiIGd1aWQ9IjZhNTY0ZDhj
LWJhZWItNGQ5Zi1hMDYzLWNhOWRlNzA1ZTViZCI+OTM1PC9rZXk+PC9mb3JlaWduLWtleXM+PHJl
Zi10eXBlIG5hbWU9IldlYiBQYWdlIj4xMjwvcmVmLXR5cGU+PGNvbnRyaWJ1dG9ycz48YXV0aG9y
cz48YXV0aG9yPkFuaWwgQXJpLEdhYm9yIFB1bGEsTGl5YW5nIFN1bjwvYXV0aG9yPjwvYXV0aG9y
cz48L2NvbnRyaWJ1dG9ycz48dGl0bGVzPjx0aXRsZT5TdHJ1Y3R1cmFsIFJlZm9ybXMgYW5kIEVj
b25vbWljIEdyb3d0aDogQSBNYWNoaW5lIExlYXJuaW5nIEFwcHJvYWNoPC90aXRsZT48L3RpdGxl
cz48dm9sdW1lPjIwMjU8L3ZvbHVtZT48bnVtYmVyPjYvMjQ8L251bWJlcj48ZGF0ZXM+PHllYXI+
MjAyMjwveWVhcj48L2RhdGVzPjxwdWJsaXNoZXI+SU5URVJOQVRJT05BTCBNT05FVEFSWSBGVU5E
PC9wdWJsaXNoZXI+PGlzYm4+OTc5ODQwMDIxOTk1NTwvaXNibj48dXJscz48cmVsYXRlZC11cmxz
Pjx1cmw+aHR0cHM6Ly93d3cuaW1mLm9yZy9lbi9QdWJsaWNhdGlvbnMvV1AvSXNzdWVzLzIwMjIv
MDkvMTUvU3RydWN0dXJhbC1SZWZvcm1zLWFuZC1FY29ub21pYy1Hcm93dGgtQS1NYWNoaW5lLUxl
YXJuaW5nLUFwcHJvYWNoLTUyMzM5NjwvdXJsPjwvcmVsYXRlZC11cmxzPjwvdXJscz48Y3VzdG9t
MT4yMDI1PC9jdXN0b20xPjxjdXN0b20yPjYvMjQ8L2N1c3RvbTI+PC9yZWNvcmQ+PC9DaXRlPjwv
RW5kTm90ZT5=
</w:fldData>
        </w:fldChar>
      </w:r>
      <w:r w:rsidR="00226D7C">
        <w:rPr>
          <w:rFonts w:ascii="Times New Roman" w:hAnsi="Times New Roman" w:cs="Times New Roman"/>
          <w:sz w:val="24"/>
        </w:rPr>
        <w:instrText xml:space="preserve"> ADDIN EN.JS.CITE </w:instrText>
      </w:r>
      <w:r w:rsidR="00226D7C">
        <w:rPr>
          <w:rFonts w:ascii="Times New Roman" w:hAnsi="Times New Roman" w:cs="Times New Roman"/>
          <w:sz w:val="24"/>
        </w:rPr>
      </w:r>
      <w:r w:rsidR="00226D7C">
        <w:rPr>
          <w:rFonts w:ascii="Times New Roman" w:hAnsi="Times New Roman" w:cs="Times New Roman"/>
          <w:sz w:val="24"/>
        </w:rPr>
        <w:fldChar w:fldCharType="separate"/>
      </w:r>
      <w:r w:rsidR="00226D7C" w:rsidRPr="00226D7C">
        <w:rPr>
          <w:rFonts w:ascii="Times New Roman" w:hAnsi="Times New Roman" w:cs="Times New Roman"/>
          <w:noProof/>
          <w:sz w:val="24"/>
          <w:vertAlign w:val="superscript"/>
        </w:rPr>
        <w:t>5</w:t>
      </w:r>
      <w:r w:rsidR="00226D7C">
        <w:rPr>
          <w:rFonts w:ascii="Times New Roman" w:hAnsi="Times New Roman" w:cs="Times New Roman"/>
          <w:sz w:val="24"/>
        </w:rPr>
        <w:fldChar w:fldCharType="end"/>
      </w:r>
      <w:r w:rsidRPr="00D4004C">
        <w:rPr>
          <w:rFonts w:ascii="Times New Roman" w:hAnsi="Times New Roman" w:cs="Times New Roman"/>
          <w:sz w:val="24"/>
        </w:rPr>
        <w:t xml:space="preserve">, the present approach delivers interpretable parameters, full uncertainty, and explicit linkage to UN variants. Finally, because GDP is associated with population health outcomes, our projections complement health-focused scenario efforts (e.g., SSP/GBD) by providing an economic envelope consistent with official demography </w:t>
      </w:r>
      <w:r w:rsidRPr="00D4004C">
        <w:rPr>
          <w:rFonts w:ascii="Times New Roman" w:hAnsi="Times New Roman" w:cs="Times New Roman"/>
          <w:b/>
          <w:bCs/>
          <w:sz w:val="24"/>
        </w:rPr>
        <w:t xml:space="preserve">[REF </w:t>
      </w:r>
      <w:proofErr w:type="spellStart"/>
      <w:r w:rsidRPr="00D4004C">
        <w:rPr>
          <w:rFonts w:ascii="Times New Roman" w:hAnsi="Times New Roman" w:cs="Times New Roman"/>
          <w:b/>
          <w:bCs/>
          <w:sz w:val="24"/>
        </w:rPr>
        <w:t>GDP→Health</w:t>
      </w:r>
      <w:proofErr w:type="spellEnd"/>
      <w:r w:rsidRPr="00D4004C">
        <w:rPr>
          <w:rFonts w:ascii="Times New Roman" w:hAnsi="Times New Roman" w:cs="Times New Roman"/>
          <w:b/>
          <w:bCs/>
          <w:sz w:val="24"/>
        </w:rPr>
        <w:t>; REF SSP/GBD GDP modules]</w:t>
      </w:r>
      <w:r w:rsidRPr="00D4004C">
        <w:rPr>
          <w:rFonts w:ascii="Times New Roman" w:hAnsi="Times New Roman" w:cs="Times New Roman"/>
          <w:sz w:val="24"/>
        </w:rPr>
        <w:t>.</w:t>
      </w:r>
    </w:p>
    <w:p w14:paraId="5E46DE45" w14:textId="466117F5" w:rsidR="00D4004C" w:rsidRDefault="00D4004C" w:rsidP="00D4004C">
      <w:pPr>
        <w:spacing w:line="480" w:lineRule="auto"/>
        <w:rPr>
          <w:rFonts w:ascii="Times New Roman" w:hAnsi="Times New Roman" w:cs="Times New Roman"/>
          <w:sz w:val="24"/>
        </w:rPr>
      </w:pPr>
      <w:r>
        <w:rPr>
          <w:rFonts w:ascii="Times New Roman" w:hAnsi="Times New Roman" w:cs="Times New Roman"/>
          <w:sz w:val="24"/>
        </w:rPr>
        <w:lastRenderedPageBreak/>
        <w:tab/>
      </w:r>
      <w:r w:rsidRPr="00D4004C">
        <w:rPr>
          <w:rFonts w:ascii="Times New Roman" w:hAnsi="Times New Roman" w:cs="Times New Roman"/>
          <w:sz w:val="24"/>
        </w:rPr>
        <w:t>Positive</w:t>
      </w:r>
      <w:r>
        <w:rPr>
          <w:rFonts w:ascii="Times New Roman" w:hAnsi="Times New Roman" w:cs="Times New Roman"/>
          <w:sz w:val="24"/>
        </w:rPr>
        <w:t xml:space="preserve"> </w:t>
      </w:r>
      <m:oMath>
        <m:r>
          <w:rPr>
            <w:rFonts w:ascii="Cambria Math" w:hAnsi="Cambria Math" w:cs="Times New Roman"/>
            <w:sz w:val="24"/>
          </w:rPr>
          <m:t>β</m:t>
        </m:r>
      </m:oMath>
      <w:r w:rsidRPr="00D4004C">
        <w:rPr>
          <w:rFonts w:ascii="Times New Roman" w:hAnsi="Times New Roman" w:cs="Times New Roman"/>
          <w:sz w:val="24"/>
        </w:rPr>
        <w:t xml:space="preserve"> values are consistent with scale economies (larger markets, specialization, knowledge diffusion) and capital deepening in earlier transitions; attenuation at high x matches congestion/ecological limits and diminishing returns </w:t>
      </w:r>
      <w:r w:rsidR="00226D7C">
        <w:rPr>
          <w:rFonts w:ascii="Times New Roman" w:hAnsi="Times New Roman" w:cs="Times New Roman"/>
          <w:sz w:val="24"/>
        </w:rPr>
        <w:fldChar w:fldCharType="begin">
          <w:fldData xml:space="preserve">PEVuZE5vdGU+PENpdGU+PEF1dGhvcj5CbG9vbTwvQXV0aG9yPjxZZWFyPjIwMDk8L1llYXI+PFJl
Y051bT45MzE8L1JlY051bT48RGlzcGxheVRleHQ+PHN0eWxlIGZhY2U9InN1cGVyc2NyaXB0Ij4x
LDI8L3N0eWxlPjwvRGlzcGxheVRleHQ+PHJlY29yZD48cmVjLWd1aWQ+YWU2MzdhMzUtNWQzYy00
YjYwLWE2NzQtOWQzYzYxYjJmNzNmPC9yZWMtZ3VpZD48cmVjLW51bWJlcj45MzE8L3JlYy1udW1i
ZXI+PGZvcmVpZ24ta2V5cz48a2V5IGFwcD0iRU4iIGRiLWlkPSIwNXg5YXhwenN6NXR3YWV3NXMw
NTAwdHI5MHp6ZmVweGV4dGUiIHRpbWVzdGFtcD0iMTc1MDc1MzAzMiIgZ3VpZD0iYWU2MzdhMzUt
NWQzYy00YjYwLWE2NzQtOWQzYzYxYjJmNzNmIj45MzE8L2tleT48L2ZvcmVpZ24ta2V5cz48cmVm
LXR5cGUgbmFtZT0iSm91cm5hbCBBcnRpY2xlIj4xNzwvcmVmLXR5cGU+PGNvbnRyaWJ1dG9ycz48
YXV0aG9ycz48YXV0aG9yPkJsb29tLCBEYXZpZCBFLjwvYXV0aG9yPjxhdXRob3I+RmlubGF5LCBK
b2NlbHluIEUuPC9hdXRob3I+PC9hdXRob3JzPjwvY29udHJpYnV0b3JzPjx0aXRsZXM+PHRpdGxl
PkRlbW9ncmFwaGljIENoYW5nZSBhbmQgRWNvbm9taWMgR3Jvd3RoIGluIEFzaWE8L3RpdGxlPjxz
ZWNvbmRhcnktdGl0bGU+QXNpYW4gRWNvbm9taWMgUG9saWN5IFJldmlldzwvc2Vjb25kYXJ5LXRp
dGxlPjwvdGl0bGVzPjxwZXJpb2RpY2FsPjxmdWxsLXRpdGxlPkFzaWFuIEVjb25vbWljIFBvbGlj
eSBSZXZpZXc8L2Z1bGwtdGl0bGU+PC9wZXJpb2RpY2FsPjxwYWdlcz40NS02NDwvcGFnZXM+PHZv
bHVtZT40PC92b2x1bWU+PG51bWJlcj4xPC9udW1iZXI+PHNlY3Rpb24+NDU8L3NlY3Rpb24+PGRh
dGVzPjx5ZWFyPjIwMDk8L3llYXI+PC9kYXRlcz48aXNibj4xODMyLTgxMDUmI3hEOzE3NDgtMzEz
MTwvaXNibj48ZWxlY3Ryb25pYy1yZXNvdXJjZS1udW0+MTAuMTExMS9qLjE3NDgtMzEzMS4yMDA5
LjAxMTA2Lng8L2VsZWN0cm9uaWMtcmVzb3VyY2UtbnVtPjwvcmVjb3JkPjwvQ2l0ZT48Q2l0ZT48
QXV0aG9yPkxlZTwvQXV0aG9yPjxZZWFyPjIwMTA8L1llYXI+PFJlY051bT45MzI8L1JlY051bT48
cmVjb3JkPjxyZWMtZ3VpZD5kOWFiYTEyZi0yODUzLTRlYmUtOGE3ZC1hY2M1OWI0MDM4OGM8L3Jl
Yy1ndWlkPjxyZWMtbnVtYmVyPjkzMjwvcmVjLW51bWJlcj48Zm9yZWlnbi1rZXlzPjxrZXkgYXBw
PSJFTiIgZGItaWQ9IjA1eDlheHB6c3o1dHdhZXc1czA1MDB0cjkwenpmZXB4ZXh0ZSIgdGltZXN0
YW1wPSIxNzUwNzUzMDY5IiBndWlkPSJkOWFiYTEyZi0yODUzLTRlYmUtOGE3ZC1hY2M1OWI0MDM4
OGMiPjkzMjwva2V5PjwvZm9yZWlnbi1rZXlzPjxyZWYtdHlwZSBuYW1lPSJKb3VybmFsIEFydGlj
bGUiPjE3PC9yZWYtdHlwZT48Y29udHJpYnV0b3JzPjxhdXRob3JzPjxhdXRob3I+TGVlLCBSb25h
bGQ8L2F1dGhvcj48YXV0aG9yPk1hc29uLCBBbmRyZXc8L2F1dGhvcj48L2F1dGhvcnM+PC9jb250
cmlidXRvcnM+PHRpdGxlcz48dGl0bGU+U29tZSBtYWNyb2Vjb25vbWljIGFzcGVjdHMgb2YgZ2xv
YmFsIHBvcHVsYXRpb24gYWdpbmc8L3RpdGxlPjxzZWNvbmRhcnktdGl0bGU+RGVtb2dyYXBoeTwv
c2Vjb25kYXJ5LXRpdGxlPjwvdGl0bGVzPjxwZXJpb2RpY2FsPjxmdWxsLXRpdGxlPkRlbW9ncmFw
aHk8L2Z1bGwtdGl0bGU+PC9wZXJpb2RpY2FsPjxwYWdlcz5TMTUxLVMxNzI8L3BhZ2VzPjx2b2x1
bWU+NDc8L3ZvbHVtZT48bnVtYmVyPlN1cHBsIDE8L251bWJlcj48c2VjdGlvbj5TMTUxPC9zZWN0
aW9uPjxkYXRlcz48eWVhcj4yMDEwPC95ZWFyPjwvZGF0ZXM+PGlzYm4+MDA3MC0zMzcwJiN4RDsx
NTMzLTc3OTA8L2lzYm4+PGVsZWN0cm9uaWMtcmVzb3VyY2UtbnVtPjEwLjEzNTMvZGVtLjIwMTAu
MDAwMjwvZWxlY3Ryb25pYy1yZXNvdXJjZS1udW0+PC9yZWNvcmQ+PC9DaXRlPjwvRW5kTm90ZT4A
</w:fldData>
        </w:fldChar>
      </w:r>
      <w:r w:rsidR="00226D7C">
        <w:rPr>
          <w:rFonts w:ascii="Times New Roman" w:hAnsi="Times New Roman" w:cs="Times New Roman"/>
          <w:sz w:val="24"/>
        </w:rPr>
        <w:instrText xml:space="preserve"> ADDIN EN.JS.CITE </w:instrText>
      </w:r>
      <w:r w:rsidR="00226D7C">
        <w:rPr>
          <w:rFonts w:ascii="Times New Roman" w:hAnsi="Times New Roman" w:cs="Times New Roman"/>
          <w:sz w:val="24"/>
        </w:rPr>
      </w:r>
      <w:r w:rsidR="00226D7C">
        <w:rPr>
          <w:rFonts w:ascii="Times New Roman" w:hAnsi="Times New Roman" w:cs="Times New Roman"/>
          <w:sz w:val="24"/>
        </w:rPr>
        <w:fldChar w:fldCharType="separate"/>
      </w:r>
      <w:r w:rsidR="00226D7C" w:rsidRPr="00226D7C">
        <w:rPr>
          <w:rFonts w:ascii="Times New Roman" w:hAnsi="Times New Roman" w:cs="Times New Roman"/>
          <w:noProof/>
          <w:sz w:val="24"/>
          <w:vertAlign w:val="superscript"/>
        </w:rPr>
        <w:t>1,2</w:t>
      </w:r>
      <w:r w:rsidR="00226D7C">
        <w:rPr>
          <w:rFonts w:ascii="Times New Roman" w:hAnsi="Times New Roman" w:cs="Times New Roman"/>
          <w:sz w:val="24"/>
        </w:rPr>
        <w:fldChar w:fldCharType="end"/>
      </w:r>
      <w:r w:rsidRPr="00D4004C">
        <w:rPr>
          <w:rFonts w:ascii="Times New Roman" w:hAnsi="Times New Roman" w:cs="Times New Roman"/>
          <w:sz w:val="24"/>
        </w:rPr>
        <w:t xml:space="preserve">. Regional variance components indicate the role of institutions, age structure, and human capital in mediating demography–GDP links </w:t>
      </w:r>
      <w:r w:rsidRPr="00226D7C">
        <w:rPr>
          <w:rFonts w:ascii="Times New Roman" w:hAnsi="Times New Roman" w:cs="Times New Roman"/>
          <w:b/>
          <w:bCs/>
          <w:sz w:val="24"/>
        </w:rPr>
        <w:t>[REF Demographic dividend]</w:t>
      </w:r>
      <w:r w:rsidRPr="00D4004C">
        <w:rPr>
          <w:rFonts w:ascii="Times New Roman" w:hAnsi="Times New Roman" w:cs="Times New Roman"/>
          <w:sz w:val="24"/>
        </w:rPr>
        <w:t xml:space="preserve">. Policy implications </w:t>
      </w:r>
      <w:proofErr w:type="gramStart"/>
      <w:r w:rsidRPr="00D4004C">
        <w:rPr>
          <w:rFonts w:ascii="Times New Roman" w:hAnsi="Times New Roman" w:cs="Times New Roman"/>
          <w:sz w:val="24"/>
        </w:rPr>
        <w:t>follow:</w:t>
      </w:r>
      <w:proofErr w:type="gramEnd"/>
      <w:r w:rsidRPr="00D4004C">
        <w:rPr>
          <w:rFonts w:ascii="Times New Roman" w:hAnsi="Times New Roman" w:cs="Times New Roman"/>
          <w:sz w:val="24"/>
        </w:rPr>
        <w:t xml:space="preserve"> countries approaching population plateaus or declines may need productivity-oriented reforms (human capital, female labor participation, migration management) to sustain output; health-sector planners can use the probabilistic GDP envelope to gauge fiscal space, investment timing, and resilience to demographic shifts </w:t>
      </w:r>
      <w:r w:rsidRPr="00226D7C">
        <w:rPr>
          <w:rFonts w:ascii="Times New Roman" w:hAnsi="Times New Roman" w:cs="Times New Roman"/>
          <w:b/>
          <w:bCs/>
          <w:sz w:val="24"/>
        </w:rPr>
        <w:t>[REF Fiscal space &amp; health; REF Health investment macro returns]</w:t>
      </w:r>
      <w:r w:rsidRPr="00D4004C">
        <w:rPr>
          <w:rFonts w:ascii="Times New Roman" w:hAnsi="Times New Roman" w:cs="Times New Roman"/>
          <w:sz w:val="24"/>
        </w:rPr>
        <w:t xml:space="preserve">. Because GDP is associated with mortality and life expectancy, credible economic trajectories can support public-health priority-setting under demographic change </w:t>
      </w:r>
      <w:r w:rsidRPr="00226D7C">
        <w:rPr>
          <w:rFonts w:ascii="Times New Roman" w:hAnsi="Times New Roman" w:cs="Times New Roman"/>
          <w:b/>
          <w:bCs/>
          <w:sz w:val="24"/>
        </w:rPr>
        <w:t xml:space="preserve">[REF </w:t>
      </w:r>
      <w:proofErr w:type="spellStart"/>
      <w:r w:rsidRPr="00226D7C">
        <w:rPr>
          <w:rFonts w:ascii="Times New Roman" w:hAnsi="Times New Roman" w:cs="Times New Roman"/>
          <w:b/>
          <w:bCs/>
          <w:sz w:val="24"/>
        </w:rPr>
        <w:t>GDP→Health</w:t>
      </w:r>
      <w:proofErr w:type="spellEnd"/>
      <w:r w:rsidRPr="00226D7C">
        <w:rPr>
          <w:rFonts w:ascii="Times New Roman" w:hAnsi="Times New Roman" w:cs="Times New Roman"/>
          <w:b/>
          <w:bCs/>
          <w:sz w:val="24"/>
        </w:rPr>
        <w:t>]</w:t>
      </w:r>
      <w:r w:rsidRPr="00D4004C">
        <w:rPr>
          <w:rFonts w:ascii="Times New Roman" w:hAnsi="Times New Roman" w:cs="Times New Roman"/>
          <w:sz w:val="24"/>
        </w:rPr>
        <w:t>.</w:t>
      </w:r>
    </w:p>
    <w:p w14:paraId="0C24C8CF" w14:textId="77777777" w:rsidR="00226D7C" w:rsidRDefault="00226D7C" w:rsidP="00D4004C">
      <w:pPr>
        <w:spacing w:line="480" w:lineRule="auto"/>
        <w:rPr>
          <w:rFonts w:ascii="Times New Roman" w:hAnsi="Times New Roman" w:cs="Times New Roman"/>
          <w:b/>
          <w:bCs/>
          <w:sz w:val="24"/>
        </w:rPr>
      </w:pPr>
    </w:p>
    <w:p w14:paraId="5664F423" w14:textId="79F6CD09" w:rsidR="00226D7C" w:rsidRPr="00226D7C" w:rsidRDefault="00226D7C" w:rsidP="00D4004C">
      <w:pPr>
        <w:spacing w:line="480" w:lineRule="auto"/>
        <w:rPr>
          <w:rFonts w:ascii="Times New Roman" w:hAnsi="Times New Roman" w:cs="Times New Roman"/>
          <w:b/>
          <w:bCs/>
          <w:sz w:val="24"/>
        </w:rPr>
      </w:pPr>
      <w:r w:rsidRPr="00226D7C">
        <w:rPr>
          <w:rFonts w:ascii="Times New Roman" w:hAnsi="Times New Roman" w:cs="Times New Roman"/>
          <w:b/>
          <w:bCs/>
          <w:sz w:val="24"/>
        </w:rPr>
        <w:t>Limitations</w:t>
      </w:r>
    </w:p>
    <w:p w14:paraId="619423F2" w14:textId="7A386E4F" w:rsidR="00D4004C" w:rsidRDefault="00D4004C" w:rsidP="00D4004C">
      <w:pPr>
        <w:spacing w:line="480" w:lineRule="auto"/>
        <w:rPr>
          <w:rFonts w:ascii="Times New Roman" w:hAnsi="Times New Roman" w:cs="Times New Roman"/>
          <w:sz w:val="24"/>
        </w:rPr>
      </w:pPr>
      <w:r w:rsidRPr="00D4004C">
        <w:rPr>
          <w:rFonts w:ascii="Times New Roman" w:hAnsi="Times New Roman" w:cs="Times New Roman"/>
          <w:sz w:val="24"/>
        </w:rPr>
        <w:t xml:space="preserve">First, macro data carry measurement error, especially in low-income settings, which may attenuate elasticities. Second, we omit explicit age structure, capital stock, and TFP dynamics; future work could embed these to sharpen causal interpretation. Third, UN </w:t>
      </w:r>
      <w:r w:rsidRPr="00D4004C">
        <w:rPr>
          <w:rFonts w:ascii="Times New Roman" w:hAnsi="Times New Roman" w:cs="Times New Roman"/>
          <w:sz w:val="24"/>
        </w:rPr>
        <w:lastRenderedPageBreak/>
        <w:t>variants capture demographic but not geopolitical/technological shocks; structural breaks could alter trajectories. Fourth, we pool variant medians with a random-effects step, treating scenarios as exchangeable; dependence across variants may be understated. Finally, late-century projections use light regularization (post-2085 taper, plausibility bounds); these are principled but still priors, so estimates beyond 2050 are best read as regularized envelopes, not point predictions.</w:t>
      </w:r>
    </w:p>
    <w:p w14:paraId="051CC099" w14:textId="77777777" w:rsidR="00D4004C" w:rsidRDefault="00D4004C" w:rsidP="00D4004C">
      <w:pPr>
        <w:spacing w:line="480" w:lineRule="auto"/>
        <w:rPr>
          <w:rFonts w:ascii="Times New Roman" w:hAnsi="Times New Roman" w:cs="Times New Roman"/>
          <w:b/>
          <w:bCs/>
          <w:sz w:val="24"/>
        </w:rPr>
      </w:pPr>
    </w:p>
    <w:p w14:paraId="2DA5B45B" w14:textId="767517BE" w:rsidR="00D4004C" w:rsidRPr="00D4004C" w:rsidRDefault="00D4004C" w:rsidP="00D4004C">
      <w:pPr>
        <w:spacing w:line="480" w:lineRule="auto"/>
        <w:rPr>
          <w:rFonts w:ascii="Times New Roman" w:hAnsi="Times New Roman" w:cs="Times New Roman"/>
          <w:b/>
          <w:bCs/>
          <w:sz w:val="24"/>
        </w:rPr>
      </w:pPr>
      <w:r w:rsidRPr="00D4004C">
        <w:rPr>
          <w:rFonts w:ascii="Times New Roman" w:hAnsi="Times New Roman" w:cs="Times New Roman"/>
          <w:b/>
          <w:bCs/>
          <w:sz w:val="24"/>
        </w:rPr>
        <w:t>Conclusions</w:t>
      </w:r>
    </w:p>
    <w:p w14:paraId="27A109BF" w14:textId="3B1568B3" w:rsidR="003E6698" w:rsidRPr="00E94EDB" w:rsidRDefault="00D4004C" w:rsidP="00E94EDB">
      <w:pPr>
        <w:spacing w:line="480" w:lineRule="auto"/>
        <w:rPr>
          <w:rFonts w:ascii="Times New Roman" w:hAnsi="Times New Roman" w:cs="Times New Roman"/>
          <w:sz w:val="24"/>
        </w:rPr>
      </w:pPr>
      <w:r w:rsidRPr="00D4004C">
        <w:rPr>
          <w:rFonts w:ascii="Times New Roman" w:hAnsi="Times New Roman" w:cs="Times New Roman"/>
          <w:sz w:val="24"/>
        </w:rPr>
        <w:t>Population is positively associated with GDP worldwide, with tapering gains and marked regional heterogeneity. A hierarchical Bayesian RCS model with base-year anchoring delivers transparent, probabilistic GDP projections tied to official demography—useful for development strategy and health-system planning. Incorporating age structure and productivity dynamics, and aligning with health-outcome scenarios, are natural next steps to strengthen policy relevance.</w:t>
      </w:r>
    </w:p>
    <w:p w14:paraId="28B93E51" w14:textId="77777777" w:rsidR="00D00567" w:rsidRDefault="00D00567" w:rsidP="00EF063D">
      <w:pPr>
        <w:spacing w:line="480" w:lineRule="auto"/>
        <w:rPr>
          <w:rFonts w:ascii="Times New Roman" w:hAnsi="Times New Roman" w:cs="Times New Roman"/>
          <w:sz w:val="24"/>
        </w:rPr>
      </w:pPr>
    </w:p>
    <w:p w14:paraId="22F70729" w14:textId="778AEA25" w:rsidR="00D00567" w:rsidRPr="00D00567" w:rsidRDefault="00D00567" w:rsidP="00EF063D">
      <w:pPr>
        <w:spacing w:line="480" w:lineRule="auto"/>
        <w:rPr>
          <w:rFonts w:ascii="Times New Roman" w:hAnsi="Times New Roman" w:cs="Times New Roman"/>
          <w:b/>
          <w:bCs/>
          <w:sz w:val="24"/>
        </w:rPr>
      </w:pPr>
      <w:r w:rsidRPr="00D00567">
        <w:rPr>
          <w:rFonts w:ascii="Times New Roman" w:hAnsi="Times New Roman" w:cs="Times New Roman"/>
          <w:b/>
          <w:bCs/>
          <w:sz w:val="24"/>
        </w:rPr>
        <w:t>References</w:t>
      </w:r>
    </w:p>
    <w:sdt>
      <w:sdtPr>
        <w:tag w:val="EndNote.ReferenceList"/>
        <w:id w:val="425384657"/>
        <w:placeholder>
          <w:docPart w:val="DefaultPlaceholder_-1854013440"/>
        </w:placeholder>
      </w:sdtPr>
      <w:sdtContent>
        <w:p w14:paraId="1BFCD2C9" w14:textId="0BBA4952" w:rsidR="00226D7C" w:rsidRPr="00226D7C" w:rsidRDefault="00226D7C" w:rsidP="00226D7C">
          <w:pPr>
            <w:pStyle w:val="EndNoteBibliography"/>
            <w:spacing w:after="0"/>
            <w:ind w:left="720" w:hanging="720"/>
            <w:rPr>
              <w:noProof/>
            </w:rPr>
          </w:pPr>
          <w:r w:rsidRPr="00226D7C">
            <w:rPr>
              <w:noProof/>
            </w:rPr>
            <w:t>1</w:t>
          </w:r>
          <w:r w:rsidRPr="00226D7C">
            <w:rPr>
              <w:noProof/>
            </w:rPr>
            <w:tab/>
            <w:t xml:space="preserve">Bloom, D. E. &amp; Finlay, J. E. Demographic Change and Economic Growth in </w:t>
          </w:r>
          <w:r w:rsidRPr="00226D7C">
            <w:rPr>
              <w:noProof/>
            </w:rPr>
            <w:lastRenderedPageBreak/>
            <w:t xml:space="preserve">Asia. </w:t>
          </w:r>
          <w:r w:rsidRPr="00226D7C">
            <w:rPr>
              <w:i/>
              <w:noProof/>
            </w:rPr>
            <w:t>Asian Economic Policy Review</w:t>
          </w:r>
          <w:r w:rsidRPr="00226D7C">
            <w:rPr>
              <w:noProof/>
            </w:rPr>
            <w:t xml:space="preserve"> </w:t>
          </w:r>
          <w:r w:rsidRPr="00226D7C">
            <w:rPr>
              <w:b/>
              <w:noProof/>
            </w:rPr>
            <w:t>4</w:t>
          </w:r>
          <w:r w:rsidRPr="00226D7C">
            <w:rPr>
              <w:noProof/>
            </w:rPr>
            <w:t xml:space="preserve">, 45-64 (2009). </w:t>
          </w:r>
          <w:hyperlink r:id="rId11" w:history="1">
            <w:r w:rsidRPr="00226D7C">
              <w:rPr>
                <w:rStyle w:val="ab"/>
                <w:noProof/>
              </w:rPr>
              <w:t>https://doi.org/10.1111/j.1748-3131.2009.01106.x</w:t>
            </w:r>
          </w:hyperlink>
        </w:p>
        <w:p w14:paraId="73B5CB86" w14:textId="6A35CDC1" w:rsidR="00226D7C" w:rsidRPr="00226D7C" w:rsidRDefault="00226D7C" w:rsidP="00226D7C">
          <w:pPr>
            <w:pStyle w:val="EndNoteBibliography"/>
            <w:spacing w:after="0"/>
            <w:ind w:left="720" w:hanging="720"/>
            <w:rPr>
              <w:noProof/>
            </w:rPr>
          </w:pPr>
          <w:r w:rsidRPr="00226D7C">
            <w:rPr>
              <w:noProof/>
            </w:rPr>
            <w:t>2</w:t>
          </w:r>
          <w:r w:rsidRPr="00226D7C">
            <w:rPr>
              <w:noProof/>
            </w:rPr>
            <w:tab/>
            <w:t xml:space="preserve">Lee, R. &amp; Mason, A. Some macroeconomic aspects of global population aging. </w:t>
          </w:r>
          <w:r w:rsidRPr="00226D7C">
            <w:rPr>
              <w:i/>
              <w:noProof/>
            </w:rPr>
            <w:t>Demography</w:t>
          </w:r>
          <w:r w:rsidRPr="00226D7C">
            <w:rPr>
              <w:noProof/>
            </w:rPr>
            <w:t xml:space="preserve"> </w:t>
          </w:r>
          <w:r w:rsidRPr="00226D7C">
            <w:rPr>
              <w:b/>
              <w:noProof/>
            </w:rPr>
            <w:t>47</w:t>
          </w:r>
          <w:r w:rsidRPr="00226D7C">
            <w:rPr>
              <w:noProof/>
            </w:rPr>
            <w:t xml:space="preserve">, S151-S172 (2010). </w:t>
          </w:r>
          <w:hyperlink r:id="rId12" w:history="1">
            <w:r w:rsidRPr="00226D7C">
              <w:rPr>
                <w:rStyle w:val="ab"/>
                <w:noProof/>
              </w:rPr>
              <w:t>https://doi.org/10.1353/dem.2010.0002</w:t>
            </w:r>
          </w:hyperlink>
        </w:p>
        <w:p w14:paraId="59D731F2" w14:textId="080AA83F" w:rsidR="00226D7C" w:rsidRPr="00226D7C" w:rsidRDefault="00226D7C" w:rsidP="00226D7C">
          <w:pPr>
            <w:pStyle w:val="EndNoteBibliography"/>
            <w:spacing w:after="0"/>
            <w:ind w:left="720" w:hanging="720"/>
            <w:rPr>
              <w:noProof/>
            </w:rPr>
          </w:pPr>
          <w:r w:rsidRPr="00226D7C">
            <w:rPr>
              <w:noProof/>
            </w:rPr>
            <w:t>3</w:t>
          </w:r>
          <w:r w:rsidRPr="00226D7C">
            <w:rPr>
              <w:noProof/>
            </w:rPr>
            <w:tab/>
            <w:t xml:space="preserve">Kelley, A. C. &amp; Schmidt, R. M. Aggregate Population and Economic Growth Correlations: The Role of the Components of Demographic Change. </w:t>
          </w:r>
          <w:r w:rsidRPr="00226D7C">
            <w:rPr>
              <w:i/>
              <w:noProof/>
            </w:rPr>
            <w:t>Demography</w:t>
          </w:r>
          <w:r w:rsidRPr="00226D7C">
            <w:rPr>
              <w:noProof/>
            </w:rPr>
            <w:t xml:space="preserve"> </w:t>
          </w:r>
          <w:r w:rsidRPr="00226D7C">
            <w:rPr>
              <w:b/>
              <w:noProof/>
            </w:rPr>
            <w:t>32</w:t>
          </w:r>
          <w:r w:rsidRPr="00226D7C">
            <w:rPr>
              <w:noProof/>
            </w:rPr>
            <w:t xml:space="preserve">, 543-555 (1995). </w:t>
          </w:r>
          <w:hyperlink r:id="rId13" w:history="1">
            <w:r w:rsidRPr="00226D7C">
              <w:rPr>
                <w:rStyle w:val="ab"/>
                <w:noProof/>
              </w:rPr>
              <w:t>https://doi.org/10.2307/2061674</w:t>
            </w:r>
          </w:hyperlink>
        </w:p>
        <w:p w14:paraId="14CD8794" w14:textId="51D4908C" w:rsidR="00226D7C" w:rsidRPr="00226D7C" w:rsidRDefault="00226D7C" w:rsidP="00226D7C">
          <w:pPr>
            <w:pStyle w:val="EndNoteBibliography"/>
            <w:spacing w:after="0"/>
            <w:ind w:left="720" w:hanging="720"/>
            <w:rPr>
              <w:noProof/>
            </w:rPr>
          </w:pPr>
          <w:r w:rsidRPr="00226D7C">
            <w:rPr>
              <w:rFonts w:hint="eastAsia"/>
              <w:noProof/>
            </w:rPr>
            <w:t>4</w:t>
          </w:r>
          <w:r w:rsidRPr="00226D7C">
            <w:rPr>
              <w:rFonts w:hint="eastAsia"/>
              <w:noProof/>
            </w:rPr>
            <w:tab/>
            <w:t xml:space="preserve">Headey, D. D. &amp; Hodge, A. The Effect of Population Growth on Economic Growth: A Meta‐Regression Analysis of the Macroeconomic Literature. </w:t>
          </w:r>
          <w:r w:rsidRPr="00226D7C">
            <w:rPr>
              <w:rFonts w:hint="eastAsia"/>
              <w:i/>
              <w:noProof/>
            </w:rPr>
            <w:t>Population and Development Review</w:t>
          </w:r>
          <w:r w:rsidRPr="00226D7C">
            <w:rPr>
              <w:rFonts w:hint="eastAsia"/>
              <w:noProof/>
            </w:rPr>
            <w:t xml:space="preserve"> </w:t>
          </w:r>
          <w:r w:rsidRPr="00226D7C">
            <w:rPr>
              <w:rFonts w:hint="eastAsia"/>
              <w:b/>
              <w:noProof/>
            </w:rPr>
            <w:t>35</w:t>
          </w:r>
          <w:r w:rsidRPr="00226D7C">
            <w:rPr>
              <w:rFonts w:hint="eastAsia"/>
              <w:noProof/>
            </w:rPr>
            <w:t xml:space="preserve">, 221-248 (2009). </w:t>
          </w:r>
          <w:hyperlink r:id="rId14" w:history="1">
            <w:r w:rsidRPr="00226D7C">
              <w:rPr>
                <w:rStyle w:val="ab"/>
                <w:rFonts w:hint="eastAsia"/>
                <w:noProof/>
              </w:rPr>
              <w:t>https://doi.org/10.1111/j.1728-4457.2009.00274.x</w:t>
            </w:r>
          </w:hyperlink>
        </w:p>
        <w:p w14:paraId="6E3203B4" w14:textId="1035606E" w:rsidR="00226D7C" w:rsidRPr="00226D7C" w:rsidRDefault="00226D7C" w:rsidP="00226D7C">
          <w:pPr>
            <w:pStyle w:val="EndNoteBibliography"/>
            <w:ind w:left="720" w:hanging="720"/>
          </w:pPr>
          <w:r w:rsidRPr="00226D7C">
            <w:rPr>
              <w:noProof/>
            </w:rPr>
            <w:t>5</w:t>
          </w:r>
          <w:r w:rsidRPr="00226D7C">
            <w:rPr>
              <w:noProof/>
            </w:rPr>
            <w:tab/>
            <w:t xml:space="preserve">Anil Ari, G. P., Liyang Sun. </w:t>
          </w:r>
          <w:r w:rsidRPr="00226D7C">
            <w:rPr>
              <w:i/>
              <w:noProof/>
            </w:rPr>
            <w:t>Structural Reforms and Economic Growth: A Machine Learning Approach</w:t>
          </w:r>
          <w:r w:rsidRPr="00226D7C">
            <w:rPr>
              <w:noProof/>
            </w:rPr>
            <w:t>, &lt;</w:t>
          </w:r>
          <w:hyperlink r:id="rId15" w:history="1">
            <w:r w:rsidRPr="00226D7C">
              <w:rPr>
                <w:rStyle w:val="ab"/>
                <w:noProof/>
              </w:rPr>
              <w:t>https://www.imf.org/en/Publications/WP/Issues/2022/09/15/Structural-Reforms-and-Economic-Growth-A-Machine-Learning-Approach-523396</w:t>
            </w:r>
          </w:hyperlink>
          <w:r w:rsidRPr="00226D7C">
            <w:rPr>
              <w:noProof/>
            </w:rPr>
            <w:t>&gt; (2022).</w:t>
          </w:r>
        </w:p>
      </w:sdtContent>
    </w:sdt>
    <w:p w14:paraId="6782462C" w14:textId="2BD6E593" w:rsidR="00A50026" w:rsidRDefault="00A50026" w:rsidP="00EF063D">
      <w:pPr>
        <w:spacing w:line="480" w:lineRule="auto"/>
        <w:rPr>
          <w:rFonts w:ascii="Times New Roman" w:hAnsi="Times New Roman" w:cs="Times New Roman"/>
          <w:sz w:val="24"/>
        </w:rPr>
        <w:sectPr w:rsidR="00A50026">
          <w:pgSz w:w="11906" w:h="16838"/>
          <w:pgMar w:top="1985" w:right="1701" w:bottom="1701" w:left="1701" w:header="851" w:footer="992" w:gutter="0"/>
          <w:cols w:space="425"/>
          <w:docGrid w:type="lines" w:linePitch="360"/>
        </w:sectPr>
      </w:pPr>
    </w:p>
    <w:p w14:paraId="3491A889" w14:textId="31EFD7C4" w:rsidR="00F25099" w:rsidRDefault="00A50026" w:rsidP="00EF063D">
      <w:pPr>
        <w:spacing w:line="480" w:lineRule="auto"/>
        <w:rPr>
          <w:rFonts w:ascii="Times New Roman" w:hAnsi="Times New Roman" w:cs="Times New Roman"/>
          <w:sz w:val="24"/>
        </w:rPr>
      </w:pPr>
      <w:r w:rsidRPr="00A50026">
        <w:rPr>
          <w:rFonts w:ascii="Times New Roman" w:hAnsi="Times New Roman" w:cs="Times New Roman"/>
          <w:b/>
          <w:bCs/>
          <w:sz w:val="24"/>
        </w:rPr>
        <w:lastRenderedPageBreak/>
        <w:t>Table 1.</w:t>
      </w:r>
      <w:r>
        <w:rPr>
          <w:rFonts w:ascii="Times New Roman" w:hAnsi="Times New Roman" w:cs="Times New Roman"/>
          <w:sz w:val="24"/>
        </w:rPr>
        <w:t xml:space="preserve"> </w:t>
      </w:r>
      <w:r w:rsidRPr="00A50026">
        <w:rPr>
          <w:rFonts w:ascii="Times New Roman" w:hAnsi="Times New Roman" w:cs="Times New Roman"/>
          <w:sz w:val="24"/>
        </w:rPr>
        <w:t>Posterior summary of key parameters from the hierarchical Bayesian model of log-GDP (1960 – 2023)</w:t>
      </w:r>
    </w:p>
    <w:tbl>
      <w:tblPr>
        <w:tblW w:w="13040" w:type="dxa"/>
        <w:jc w:val="center"/>
        <w:tblCellMar>
          <w:left w:w="99" w:type="dxa"/>
          <w:right w:w="99" w:type="dxa"/>
        </w:tblCellMar>
        <w:tblLook w:val="04A0" w:firstRow="1" w:lastRow="0" w:firstColumn="1" w:lastColumn="0" w:noHBand="0" w:noVBand="1"/>
      </w:tblPr>
      <w:tblGrid>
        <w:gridCol w:w="2080"/>
        <w:gridCol w:w="1300"/>
        <w:gridCol w:w="1440"/>
        <w:gridCol w:w="2000"/>
        <w:gridCol w:w="1840"/>
        <w:gridCol w:w="1560"/>
        <w:gridCol w:w="1300"/>
        <w:gridCol w:w="1520"/>
      </w:tblGrid>
      <w:tr w:rsidR="00732205" w:rsidRPr="00732205" w14:paraId="00EB1D4B" w14:textId="77777777" w:rsidTr="00732205">
        <w:trPr>
          <w:trHeight w:val="680"/>
          <w:jc w:val="center"/>
        </w:trPr>
        <w:tc>
          <w:tcPr>
            <w:tcW w:w="2080" w:type="dxa"/>
            <w:tcBorders>
              <w:top w:val="single" w:sz="4" w:space="0" w:color="auto"/>
              <w:left w:val="nil"/>
              <w:bottom w:val="single" w:sz="4" w:space="0" w:color="auto"/>
              <w:right w:val="nil"/>
            </w:tcBorders>
            <w:vAlign w:val="center"/>
            <w:hideMark/>
          </w:tcPr>
          <w:p w14:paraId="6A6A26A5" w14:textId="77777777" w:rsidR="00732205" w:rsidRPr="00732205" w:rsidRDefault="00732205" w:rsidP="00732205">
            <w:pPr>
              <w:widowControl/>
              <w:spacing w:after="0" w:line="240" w:lineRule="auto"/>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Region</w:t>
            </w:r>
          </w:p>
        </w:tc>
        <w:tc>
          <w:tcPr>
            <w:tcW w:w="1300" w:type="dxa"/>
            <w:tcBorders>
              <w:top w:val="single" w:sz="4" w:space="0" w:color="auto"/>
              <w:left w:val="nil"/>
              <w:bottom w:val="single" w:sz="4" w:space="0" w:color="auto"/>
              <w:right w:val="nil"/>
            </w:tcBorders>
            <w:vAlign w:val="center"/>
            <w:hideMark/>
          </w:tcPr>
          <w:p w14:paraId="0559884C" w14:textId="77777777" w:rsidR="00732205" w:rsidRPr="00732205" w:rsidRDefault="00732205" w:rsidP="00732205">
            <w:pPr>
              <w:widowControl/>
              <w:spacing w:after="0" w:line="240" w:lineRule="auto"/>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East Asia &amp; Pacific</w:t>
            </w:r>
          </w:p>
        </w:tc>
        <w:tc>
          <w:tcPr>
            <w:tcW w:w="1440" w:type="dxa"/>
            <w:tcBorders>
              <w:top w:val="single" w:sz="4" w:space="0" w:color="auto"/>
              <w:left w:val="nil"/>
              <w:bottom w:val="single" w:sz="4" w:space="0" w:color="auto"/>
              <w:right w:val="nil"/>
            </w:tcBorders>
            <w:vAlign w:val="center"/>
            <w:hideMark/>
          </w:tcPr>
          <w:p w14:paraId="56CE84DB" w14:textId="77777777" w:rsidR="00732205" w:rsidRPr="00732205" w:rsidRDefault="00732205" w:rsidP="00732205">
            <w:pPr>
              <w:widowControl/>
              <w:spacing w:after="0" w:line="240" w:lineRule="auto"/>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Europe &amp; Central Asia</w:t>
            </w:r>
          </w:p>
        </w:tc>
        <w:tc>
          <w:tcPr>
            <w:tcW w:w="2000" w:type="dxa"/>
            <w:tcBorders>
              <w:top w:val="single" w:sz="4" w:space="0" w:color="auto"/>
              <w:left w:val="nil"/>
              <w:bottom w:val="single" w:sz="4" w:space="0" w:color="auto"/>
              <w:right w:val="nil"/>
            </w:tcBorders>
            <w:vAlign w:val="center"/>
            <w:hideMark/>
          </w:tcPr>
          <w:p w14:paraId="4BCB96B5" w14:textId="77777777" w:rsidR="00732205" w:rsidRPr="00732205" w:rsidRDefault="00732205" w:rsidP="00732205">
            <w:pPr>
              <w:widowControl/>
              <w:spacing w:after="0" w:line="240" w:lineRule="auto"/>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Latin America &amp; Caribbean</w:t>
            </w:r>
          </w:p>
        </w:tc>
        <w:tc>
          <w:tcPr>
            <w:tcW w:w="1840" w:type="dxa"/>
            <w:tcBorders>
              <w:top w:val="single" w:sz="4" w:space="0" w:color="auto"/>
              <w:left w:val="nil"/>
              <w:bottom w:val="single" w:sz="4" w:space="0" w:color="auto"/>
              <w:right w:val="nil"/>
            </w:tcBorders>
            <w:vAlign w:val="center"/>
            <w:hideMark/>
          </w:tcPr>
          <w:p w14:paraId="5C616CBA" w14:textId="77777777" w:rsidR="00732205" w:rsidRPr="00732205" w:rsidRDefault="00732205" w:rsidP="00732205">
            <w:pPr>
              <w:widowControl/>
              <w:spacing w:after="0" w:line="240" w:lineRule="auto"/>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Middle East &amp; North Africa</w:t>
            </w:r>
          </w:p>
        </w:tc>
        <w:tc>
          <w:tcPr>
            <w:tcW w:w="1560" w:type="dxa"/>
            <w:tcBorders>
              <w:top w:val="single" w:sz="4" w:space="0" w:color="auto"/>
              <w:left w:val="nil"/>
              <w:bottom w:val="single" w:sz="4" w:space="0" w:color="auto"/>
              <w:right w:val="nil"/>
            </w:tcBorders>
            <w:vAlign w:val="center"/>
            <w:hideMark/>
          </w:tcPr>
          <w:p w14:paraId="209506A5" w14:textId="77777777" w:rsidR="00732205" w:rsidRPr="00732205" w:rsidRDefault="00732205" w:rsidP="00732205">
            <w:pPr>
              <w:widowControl/>
              <w:spacing w:after="0" w:line="240" w:lineRule="auto"/>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North America</w:t>
            </w:r>
          </w:p>
        </w:tc>
        <w:tc>
          <w:tcPr>
            <w:tcW w:w="1300" w:type="dxa"/>
            <w:tcBorders>
              <w:top w:val="single" w:sz="4" w:space="0" w:color="auto"/>
              <w:left w:val="nil"/>
              <w:bottom w:val="single" w:sz="4" w:space="0" w:color="auto"/>
              <w:right w:val="nil"/>
            </w:tcBorders>
            <w:vAlign w:val="center"/>
            <w:hideMark/>
          </w:tcPr>
          <w:p w14:paraId="102CB113" w14:textId="77777777" w:rsidR="00732205" w:rsidRPr="00732205" w:rsidRDefault="00732205" w:rsidP="00732205">
            <w:pPr>
              <w:widowControl/>
              <w:spacing w:after="0" w:line="240" w:lineRule="auto"/>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South Asia</w:t>
            </w:r>
          </w:p>
        </w:tc>
        <w:tc>
          <w:tcPr>
            <w:tcW w:w="1520" w:type="dxa"/>
            <w:tcBorders>
              <w:top w:val="single" w:sz="4" w:space="0" w:color="auto"/>
              <w:left w:val="nil"/>
              <w:bottom w:val="single" w:sz="4" w:space="0" w:color="auto"/>
              <w:right w:val="nil"/>
            </w:tcBorders>
            <w:vAlign w:val="center"/>
            <w:hideMark/>
          </w:tcPr>
          <w:p w14:paraId="1D91E42C" w14:textId="77777777" w:rsidR="00732205" w:rsidRPr="00732205" w:rsidRDefault="00732205" w:rsidP="00732205">
            <w:pPr>
              <w:widowControl/>
              <w:spacing w:after="0" w:line="240" w:lineRule="auto"/>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Sub-Saharan Africa</w:t>
            </w:r>
          </w:p>
        </w:tc>
      </w:tr>
      <w:tr w:rsidR="00732205" w:rsidRPr="00732205" w14:paraId="61F3D907" w14:textId="77777777" w:rsidTr="00732205">
        <w:trPr>
          <w:trHeight w:val="320"/>
          <w:jc w:val="center"/>
        </w:trPr>
        <w:tc>
          <w:tcPr>
            <w:tcW w:w="2080" w:type="dxa"/>
            <w:tcBorders>
              <w:top w:val="nil"/>
              <w:left w:val="nil"/>
              <w:bottom w:val="nil"/>
              <w:right w:val="nil"/>
            </w:tcBorders>
            <w:noWrap/>
            <w:vAlign w:val="center"/>
            <w:hideMark/>
          </w:tcPr>
          <w:p w14:paraId="56CF674A" w14:textId="77777777" w:rsidR="00732205" w:rsidRPr="00732205" w:rsidRDefault="00732205" w:rsidP="00732205">
            <w:pPr>
              <w:widowControl/>
              <w:spacing w:after="0" w:line="240" w:lineRule="auto"/>
              <w:rPr>
                <w:rFonts w:ascii="TimesNewRomanPSMT" w:eastAsia="ＭＳ Ｐゴシック" w:hAnsi="TimesNewRomanPSMT" w:cs="ＭＳ Ｐゴシック" w:hint="eastAsia"/>
                <w:color w:val="000000"/>
                <w:kern w:val="0"/>
                <w:sz w:val="24"/>
                <w14:ligatures w14:val="none"/>
              </w:rPr>
            </w:pPr>
            <w:proofErr w:type="spellStart"/>
            <w:r w:rsidRPr="00732205">
              <w:rPr>
                <w:rFonts w:ascii="TimesNewRomanPSMT" w:eastAsia="ＭＳ Ｐゴシック" w:hAnsi="TimesNewRomanPSMT" w:cs="ＭＳ Ｐゴシック"/>
                <w:color w:val="000000"/>
                <w:kern w:val="0"/>
                <w:sz w:val="24"/>
                <w14:ligatures w14:val="none"/>
              </w:rPr>
              <w:t>alpha_median</w:t>
            </w:r>
            <w:proofErr w:type="spellEnd"/>
          </w:p>
        </w:tc>
        <w:tc>
          <w:tcPr>
            <w:tcW w:w="1300" w:type="dxa"/>
            <w:tcBorders>
              <w:top w:val="nil"/>
              <w:left w:val="nil"/>
              <w:bottom w:val="nil"/>
              <w:right w:val="nil"/>
            </w:tcBorders>
            <w:noWrap/>
            <w:vAlign w:val="center"/>
            <w:hideMark/>
          </w:tcPr>
          <w:p w14:paraId="6DBA5FB1"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10.27 </w:t>
            </w:r>
          </w:p>
        </w:tc>
        <w:tc>
          <w:tcPr>
            <w:tcW w:w="1440" w:type="dxa"/>
            <w:tcBorders>
              <w:top w:val="nil"/>
              <w:left w:val="nil"/>
              <w:bottom w:val="nil"/>
              <w:right w:val="nil"/>
            </w:tcBorders>
            <w:noWrap/>
            <w:vAlign w:val="center"/>
            <w:hideMark/>
          </w:tcPr>
          <w:p w14:paraId="21F5FE7E"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11.01 </w:t>
            </w:r>
          </w:p>
        </w:tc>
        <w:tc>
          <w:tcPr>
            <w:tcW w:w="2000" w:type="dxa"/>
            <w:tcBorders>
              <w:top w:val="nil"/>
              <w:left w:val="nil"/>
              <w:bottom w:val="nil"/>
              <w:right w:val="nil"/>
            </w:tcBorders>
            <w:noWrap/>
            <w:vAlign w:val="center"/>
            <w:hideMark/>
          </w:tcPr>
          <w:p w14:paraId="7530DE8B"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11.89 </w:t>
            </w:r>
          </w:p>
        </w:tc>
        <w:tc>
          <w:tcPr>
            <w:tcW w:w="1840" w:type="dxa"/>
            <w:tcBorders>
              <w:top w:val="nil"/>
              <w:left w:val="nil"/>
              <w:bottom w:val="nil"/>
              <w:right w:val="nil"/>
            </w:tcBorders>
            <w:noWrap/>
            <w:vAlign w:val="center"/>
            <w:hideMark/>
          </w:tcPr>
          <w:p w14:paraId="6ED6723B"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9.90 </w:t>
            </w:r>
          </w:p>
        </w:tc>
        <w:tc>
          <w:tcPr>
            <w:tcW w:w="1560" w:type="dxa"/>
            <w:tcBorders>
              <w:top w:val="nil"/>
              <w:left w:val="nil"/>
              <w:bottom w:val="nil"/>
              <w:right w:val="nil"/>
            </w:tcBorders>
            <w:noWrap/>
            <w:vAlign w:val="center"/>
            <w:hideMark/>
          </w:tcPr>
          <w:p w14:paraId="33E92550"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13.24 </w:t>
            </w:r>
          </w:p>
        </w:tc>
        <w:tc>
          <w:tcPr>
            <w:tcW w:w="1300" w:type="dxa"/>
            <w:tcBorders>
              <w:top w:val="nil"/>
              <w:left w:val="nil"/>
              <w:bottom w:val="nil"/>
              <w:right w:val="nil"/>
            </w:tcBorders>
            <w:noWrap/>
            <w:vAlign w:val="center"/>
            <w:hideMark/>
          </w:tcPr>
          <w:p w14:paraId="12494CDA"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8.93 </w:t>
            </w:r>
          </w:p>
        </w:tc>
        <w:tc>
          <w:tcPr>
            <w:tcW w:w="1520" w:type="dxa"/>
            <w:tcBorders>
              <w:top w:val="nil"/>
              <w:left w:val="nil"/>
              <w:bottom w:val="nil"/>
              <w:right w:val="nil"/>
            </w:tcBorders>
            <w:noWrap/>
            <w:vAlign w:val="center"/>
            <w:hideMark/>
          </w:tcPr>
          <w:p w14:paraId="2115F20E"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9.76 </w:t>
            </w:r>
          </w:p>
        </w:tc>
      </w:tr>
      <w:tr w:rsidR="00732205" w:rsidRPr="00732205" w14:paraId="79A77AAD" w14:textId="77777777" w:rsidTr="00732205">
        <w:trPr>
          <w:trHeight w:val="320"/>
          <w:jc w:val="center"/>
        </w:trPr>
        <w:tc>
          <w:tcPr>
            <w:tcW w:w="2080" w:type="dxa"/>
            <w:tcBorders>
              <w:top w:val="nil"/>
              <w:left w:val="nil"/>
              <w:bottom w:val="nil"/>
              <w:right w:val="nil"/>
            </w:tcBorders>
            <w:noWrap/>
            <w:vAlign w:val="center"/>
            <w:hideMark/>
          </w:tcPr>
          <w:p w14:paraId="62D9C87E" w14:textId="77777777" w:rsidR="00732205" w:rsidRPr="00732205" w:rsidRDefault="00732205" w:rsidP="00732205">
            <w:pPr>
              <w:widowControl/>
              <w:spacing w:after="0" w:line="240" w:lineRule="auto"/>
              <w:rPr>
                <w:rFonts w:ascii="TimesNewRomanPSMT" w:eastAsia="ＭＳ Ｐゴシック" w:hAnsi="TimesNewRomanPSMT" w:cs="ＭＳ Ｐゴシック" w:hint="eastAsia"/>
                <w:color w:val="000000"/>
                <w:kern w:val="0"/>
                <w:sz w:val="24"/>
                <w14:ligatures w14:val="none"/>
              </w:rPr>
            </w:pPr>
            <w:proofErr w:type="spellStart"/>
            <w:r w:rsidRPr="00732205">
              <w:rPr>
                <w:rFonts w:ascii="TimesNewRomanPSMT" w:eastAsia="ＭＳ Ｐゴシック" w:hAnsi="TimesNewRomanPSMT" w:cs="ＭＳ Ｐゴシック"/>
                <w:color w:val="000000"/>
                <w:kern w:val="0"/>
                <w:sz w:val="24"/>
                <w14:ligatures w14:val="none"/>
              </w:rPr>
              <w:t>alpha_hdi_lo</w:t>
            </w:r>
            <w:proofErr w:type="spellEnd"/>
          </w:p>
        </w:tc>
        <w:tc>
          <w:tcPr>
            <w:tcW w:w="1300" w:type="dxa"/>
            <w:tcBorders>
              <w:top w:val="nil"/>
              <w:left w:val="nil"/>
              <w:bottom w:val="nil"/>
              <w:right w:val="nil"/>
            </w:tcBorders>
            <w:noWrap/>
            <w:vAlign w:val="center"/>
            <w:hideMark/>
          </w:tcPr>
          <w:p w14:paraId="57ED79A4"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8.97 </w:t>
            </w:r>
          </w:p>
        </w:tc>
        <w:tc>
          <w:tcPr>
            <w:tcW w:w="1440" w:type="dxa"/>
            <w:tcBorders>
              <w:top w:val="nil"/>
              <w:left w:val="nil"/>
              <w:bottom w:val="nil"/>
              <w:right w:val="nil"/>
            </w:tcBorders>
            <w:noWrap/>
            <w:vAlign w:val="center"/>
            <w:hideMark/>
          </w:tcPr>
          <w:p w14:paraId="4C6069AF"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9.50 </w:t>
            </w:r>
          </w:p>
        </w:tc>
        <w:tc>
          <w:tcPr>
            <w:tcW w:w="2000" w:type="dxa"/>
            <w:tcBorders>
              <w:top w:val="nil"/>
              <w:left w:val="nil"/>
              <w:bottom w:val="nil"/>
              <w:right w:val="nil"/>
            </w:tcBorders>
            <w:noWrap/>
            <w:vAlign w:val="center"/>
            <w:hideMark/>
          </w:tcPr>
          <w:p w14:paraId="29C34800"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10.68 </w:t>
            </w:r>
          </w:p>
        </w:tc>
        <w:tc>
          <w:tcPr>
            <w:tcW w:w="1840" w:type="dxa"/>
            <w:tcBorders>
              <w:top w:val="nil"/>
              <w:left w:val="nil"/>
              <w:bottom w:val="nil"/>
              <w:right w:val="nil"/>
            </w:tcBorders>
            <w:noWrap/>
            <w:vAlign w:val="center"/>
            <w:hideMark/>
          </w:tcPr>
          <w:p w14:paraId="43ADF148"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9.11 </w:t>
            </w:r>
          </w:p>
        </w:tc>
        <w:tc>
          <w:tcPr>
            <w:tcW w:w="1560" w:type="dxa"/>
            <w:tcBorders>
              <w:top w:val="nil"/>
              <w:left w:val="nil"/>
              <w:bottom w:val="nil"/>
              <w:right w:val="nil"/>
            </w:tcBorders>
            <w:noWrap/>
            <w:vAlign w:val="center"/>
            <w:hideMark/>
          </w:tcPr>
          <w:p w14:paraId="030E235D"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9.73 </w:t>
            </w:r>
          </w:p>
        </w:tc>
        <w:tc>
          <w:tcPr>
            <w:tcW w:w="1300" w:type="dxa"/>
            <w:tcBorders>
              <w:top w:val="nil"/>
              <w:left w:val="nil"/>
              <w:bottom w:val="nil"/>
              <w:right w:val="nil"/>
            </w:tcBorders>
            <w:noWrap/>
            <w:vAlign w:val="center"/>
            <w:hideMark/>
          </w:tcPr>
          <w:p w14:paraId="506F4FD8"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7.74 </w:t>
            </w:r>
          </w:p>
        </w:tc>
        <w:tc>
          <w:tcPr>
            <w:tcW w:w="1520" w:type="dxa"/>
            <w:tcBorders>
              <w:top w:val="nil"/>
              <w:left w:val="nil"/>
              <w:bottom w:val="nil"/>
              <w:right w:val="nil"/>
            </w:tcBorders>
            <w:noWrap/>
            <w:vAlign w:val="center"/>
            <w:hideMark/>
          </w:tcPr>
          <w:p w14:paraId="5956FFFD"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9.20 </w:t>
            </w:r>
          </w:p>
        </w:tc>
      </w:tr>
      <w:tr w:rsidR="00732205" w:rsidRPr="00732205" w14:paraId="767FF6E2" w14:textId="77777777" w:rsidTr="00732205">
        <w:trPr>
          <w:trHeight w:val="320"/>
          <w:jc w:val="center"/>
        </w:trPr>
        <w:tc>
          <w:tcPr>
            <w:tcW w:w="2080" w:type="dxa"/>
            <w:tcBorders>
              <w:top w:val="nil"/>
              <w:left w:val="nil"/>
              <w:bottom w:val="nil"/>
              <w:right w:val="nil"/>
            </w:tcBorders>
            <w:noWrap/>
            <w:vAlign w:val="center"/>
            <w:hideMark/>
          </w:tcPr>
          <w:p w14:paraId="291A4306" w14:textId="77777777" w:rsidR="00732205" w:rsidRPr="00732205" w:rsidRDefault="00732205" w:rsidP="00732205">
            <w:pPr>
              <w:widowControl/>
              <w:spacing w:after="0" w:line="240" w:lineRule="auto"/>
              <w:rPr>
                <w:rFonts w:ascii="TimesNewRomanPSMT" w:eastAsia="ＭＳ Ｐゴシック" w:hAnsi="TimesNewRomanPSMT" w:cs="ＭＳ Ｐゴシック" w:hint="eastAsia"/>
                <w:color w:val="000000"/>
                <w:kern w:val="0"/>
                <w:sz w:val="24"/>
                <w14:ligatures w14:val="none"/>
              </w:rPr>
            </w:pPr>
            <w:proofErr w:type="spellStart"/>
            <w:r w:rsidRPr="00732205">
              <w:rPr>
                <w:rFonts w:ascii="TimesNewRomanPSMT" w:eastAsia="ＭＳ Ｐゴシック" w:hAnsi="TimesNewRomanPSMT" w:cs="ＭＳ Ｐゴシック"/>
                <w:color w:val="000000"/>
                <w:kern w:val="0"/>
                <w:sz w:val="24"/>
                <w14:ligatures w14:val="none"/>
              </w:rPr>
              <w:t>alpha_hdi_hi</w:t>
            </w:r>
            <w:proofErr w:type="spellEnd"/>
          </w:p>
        </w:tc>
        <w:tc>
          <w:tcPr>
            <w:tcW w:w="1300" w:type="dxa"/>
            <w:tcBorders>
              <w:top w:val="nil"/>
              <w:left w:val="nil"/>
              <w:bottom w:val="nil"/>
              <w:right w:val="nil"/>
            </w:tcBorders>
            <w:noWrap/>
            <w:vAlign w:val="center"/>
            <w:hideMark/>
          </w:tcPr>
          <w:p w14:paraId="6F8A008A"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11.56 </w:t>
            </w:r>
          </w:p>
        </w:tc>
        <w:tc>
          <w:tcPr>
            <w:tcW w:w="1440" w:type="dxa"/>
            <w:tcBorders>
              <w:top w:val="nil"/>
              <w:left w:val="nil"/>
              <w:bottom w:val="nil"/>
              <w:right w:val="nil"/>
            </w:tcBorders>
            <w:noWrap/>
            <w:vAlign w:val="center"/>
            <w:hideMark/>
          </w:tcPr>
          <w:p w14:paraId="1C43934A"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12.55 </w:t>
            </w:r>
          </w:p>
        </w:tc>
        <w:tc>
          <w:tcPr>
            <w:tcW w:w="2000" w:type="dxa"/>
            <w:tcBorders>
              <w:top w:val="nil"/>
              <w:left w:val="nil"/>
              <w:bottom w:val="nil"/>
              <w:right w:val="nil"/>
            </w:tcBorders>
            <w:noWrap/>
            <w:vAlign w:val="center"/>
            <w:hideMark/>
          </w:tcPr>
          <w:p w14:paraId="67763999"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13.08 </w:t>
            </w:r>
          </w:p>
        </w:tc>
        <w:tc>
          <w:tcPr>
            <w:tcW w:w="1840" w:type="dxa"/>
            <w:tcBorders>
              <w:top w:val="nil"/>
              <w:left w:val="nil"/>
              <w:bottom w:val="nil"/>
              <w:right w:val="nil"/>
            </w:tcBorders>
            <w:noWrap/>
            <w:vAlign w:val="center"/>
            <w:hideMark/>
          </w:tcPr>
          <w:p w14:paraId="3D8C99DE"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10.69 </w:t>
            </w:r>
          </w:p>
        </w:tc>
        <w:tc>
          <w:tcPr>
            <w:tcW w:w="1560" w:type="dxa"/>
            <w:tcBorders>
              <w:top w:val="nil"/>
              <w:left w:val="nil"/>
              <w:bottom w:val="nil"/>
              <w:right w:val="nil"/>
            </w:tcBorders>
            <w:noWrap/>
            <w:vAlign w:val="center"/>
            <w:hideMark/>
          </w:tcPr>
          <w:p w14:paraId="55F7BA15"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16.91 </w:t>
            </w:r>
          </w:p>
        </w:tc>
        <w:tc>
          <w:tcPr>
            <w:tcW w:w="1300" w:type="dxa"/>
            <w:tcBorders>
              <w:top w:val="nil"/>
              <w:left w:val="nil"/>
              <w:bottom w:val="nil"/>
              <w:right w:val="nil"/>
            </w:tcBorders>
            <w:noWrap/>
            <w:vAlign w:val="center"/>
            <w:hideMark/>
          </w:tcPr>
          <w:p w14:paraId="1BAA88B4"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10.18 </w:t>
            </w:r>
          </w:p>
        </w:tc>
        <w:tc>
          <w:tcPr>
            <w:tcW w:w="1520" w:type="dxa"/>
            <w:tcBorders>
              <w:top w:val="nil"/>
              <w:left w:val="nil"/>
              <w:bottom w:val="nil"/>
              <w:right w:val="nil"/>
            </w:tcBorders>
            <w:noWrap/>
            <w:vAlign w:val="center"/>
            <w:hideMark/>
          </w:tcPr>
          <w:p w14:paraId="784B2965"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10.29 </w:t>
            </w:r>
          </w:p>
        </w:tc>
      </w:tr>
      <w:tr w:rsidR="00732205" w:rsidRPr="00732205" w14:paraId="54B35BDD" w14:textId="77777777" w:rsidTr="00732205">
        <w:trPr>
          <w:trHeight w:val="320"/>
          <w:jc w:val="center"/>
        </w:trPr>
        <w:tc>
          <w:tcPr>
            <w:tcW w:w="2080" w:type="dxa"/>
            <w:tcBorders>
              <w:top w:val="nil"/>
              <w:left w:val="nil"/>
              <w:bottom w:val="nil"/>
              <w:right w:val="nil"/>
            </w:tcBorders>
            <w:noWrap/>
            <w:vAlign w:val="center"/>
            <w:hideMark/>
          </w:tcPr>
          <w:p w14:paraId="262F2B39" w14:textId="77777777" w:rsidR="00732205" w:rsidRPr="00732205" w:rsidRDefault="00732205" w:rsidP="00732205">
            <w:pPr>
              <w:widowControl/>
              <w:spacing w:after="0" w:line="240" w:lineRule="auto"/>
              <w:rPr>
                <w:rFonts w:ascii="TimesNewRomanPSMT" w:eastAsia="ＭＳ Ｐゴシック" w:hAnsi="TimesNewRomanPSMT" w:cs="ＭＳ Ｐゴシック" w:hint="eastAsia"/>
                <w:color w:val="000000"/>
                <w:kern w:val="0"/>
                <w:sz w:val="24"/>
                <w14:ligatures w14:val="none"/>
              </w:rPr>
            </w:pPr>
            <w:proofErr w:type="spellStart"/>
            <w:r w:rsidRPr="00732205">
              <w:rPr>
                <w:rFonts w:ascii="TimesNewRomanPSMT" w:eastAsia="ＭＳ Ｐゴシック" w:hAnsi="TimesNewRomanPSMT" w:cs="ＭＳ Ｐゴシック"/>
                <w:color w:val="000000"/>
                <w:kern w:val="0"/>
                <w:sz w:val="24"/>
                <w14:ligatures w14:val="none"/>
              </w:rPr>
              <w:t>alpha_rhat</w:t>
            </w:r>
            <w:proofErr w:type="spellEnd"/>
          </w:p>
        </w:tc>
        <w:tc>
          <w:tcPr>
            <w:tcW w:w="1300" w:type="dxa"/>
            <w:tcBorders>
              <w:top w:val="nil"/>
              <w:left w:val="nil"/>
              <w:bottom w:val="nil"/>
              <w:right w:val="nil"/>
            </w:tcBorders>
            <w:noWrap/>
            <w:vAlign w:val="center"/>
            <w:hideMark/>
          </w:tcPr>
          <w:p w14:paraId="7A99EB91"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1.00 </w:t>
            </w:r>
          </w:p>
        </w:tc>
        <w:tc>
          <w:tcPr>
            <w:tcW w:w="1440" w:type="dxa"/>
            <w:tcBorders>
              <w:top w:val="nil"/>
              <w:left w:val="nil"/>
              <w:bottom w:val="nil"/>
              <w:right w:val="nil"/>
            </w:tcBorders>
            <w:noWrap/>
            <w:vAlign w:val="center"/>
            <w:hideMark/>
          </w:tcPr>
          <w:p w14:paraId="7DEF0CE9"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1.00 </w:t>
            </w:r>
          </w:p>
        </w:tc>
        <w:tc>
          <w:tcPr>
            <w:tcW w:w="2000" w:type="dxa"/>
            <w:tcBorders>
              <w:top w:val="nil"/>
              <w:left w:val="nil"/>
              <w:bottom w:val="nil"/>
              <w:right w:val="nil"/>
            </w:tcBorders>
            <w:noWrap/>
            <w:vAlign w:val="center"/>
            <w:hideMark/>
          </w:tcPr>
          <w:p w14:paraId="56CF54C8"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1.00 </w:t>
            </w:r>
          </w:p>
        </w:tc>
        <w:tc>
          <w:tcPr>
            <w:tcW w:w="1840" w:type="dxa"/>
            <w:tcBorders>
              <w:top w:val="nil"/>
              <w:left w:val="nil"/>
              <w:bottom w:val="nil"/>
              <w:right w:val="nil"/>
            </w:tcBorders>
            <w:noWrap/>
            <w:vAlign w:val="center"/>
            <w:hideMark/>
          </w:tcPr>
          <w:p w14:paraId="6AF46C86"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1.00 </w:t>
            </w:r>
          </w:p>
        </w:tc>
        <w:tc>
          <w:tcPr>
            <w:tcW w:w="1560" w:type="dxa"/>
            <w:tcBorders>
              <w:top w:val="nil"/>
              <w:left w:val="nil"/>
              <w:bottom w:val="nil"/>
              <w:right w:val="nil"/>
            </w:tcBorders>
            <w:noWrap/>
            <w:vAlign w:val="center"/>
            <w:hideMark/>
          </w:tcPr>
          <w:p w14:paraId="3DF431CA"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1.00 </w:t>
            </w:r>
          </w:p>
        </w:tc>
        <w:tc>
          <w:tcPr>
            <w:tcW w:w="1300" w:type="dxa"/>
            <w:tcBorders>
              <w:top w:val="nil"/>
              <w:left w:val="nil"/>
              <w:bottom w:val="nil"/>
              <w:right w:val="nil"/>
            </w:tcBorders>
            <w:noWrap/>
            <w:vAlign w:val="center"/>
            <w:hideMark/>
          </w:tcPr>
          <w:p w14:paraId="5C26D571"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1.00 </w:t>
            </w:r>
          </w:p>
        </w:tc>
        <w:tc>
          <w:tcPr>
            <w:tcW w:w="1520" w:type="dxa"/>
            <w:tcBorders>
              <w:top w:val="nil"/>
              <w:left w:val="nil"/>
              <w:bottom w:val="nil"/>
              <w:right w:val="nil"/>
            </w:tcBorders>
            <w:noWrap/>
            <w:vAlign w:val="center"/>
            <w:hideMark/>
          </w:tcPr>
          <w:p w14:paraId="58D73FB1"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1.00 </w:t>
            </w:r>
          </w:p>
        </w:tc>
      </w:tr>
      <w:tr w:rsidR="00732205" w:rsidRPr="00732205" w14:paraId="6F79D24B" w14:textId="77777777" w:rsidTr="00732205">
        <w:trPr>
          <w:trHeight w:val="320"/>
          <w:jc w:val="center"/>
        </w:trPr>
        <w:tc>
          <w:tcPr>
            <w:tcW w:w="2080" w:type="dxa"/>
            <w:tcBorders>
              <w:top w:val="nil"/>
              <w:left w:val="nil"/>
              <w:bottom w:val="nil"/>
              <w:right w:val="nil"/>
            </w:tcBorders>
            <w:noWrap/>
            <w:vAlign w:val="center"/>
            <w:hideMark/>
          </w:tcPr>
          <w:p w14:paraId="7FD82312" w14:textId="77777777" w:rsidR="00732205" w:rsidRPr="00732205" w:rsidRDefault="00732205" w:rsidP="00732205">
            <w:pPr>
              <w:widowControl/>
              <w:spacing w:after="0" w:line="240" w:lineRule="auto"/>
              <w:rPr>
                <w:rFonts w:ascii="TimesNewRomanPSMT" w:eastAsia="ＭＳ Ｐゴシック" w:hAnsi="TimesNewRomanPSMT" w:cs="ＭＳ Ｐゴシック" w:hint="eastAsia"/>
                <w:color w:val="000000"/>
                <w:kern w:val="0"/>
                <w:sz w:val="24"/>
                <w14:ligatures w14:val="none"/>
              </w:rPr>
            </w:pPr>
            <w:proofErr w:type="spellStart"/>
            <w:r w:rsidRPr="00732205">
              <w:rPr>
                <w:rFonts w:ascii="TimesNewRomanPSMT" w:eastAsia="ＭＳ Ｐゴシック" w:hAnsi="TimesNewRomanPSMT" w:cs="ＭＳ Ｐゴシック"/>
                <w:color w:val="000000"/>
                <w:kern w:val="0"/>
                <w:sz w:val="24"/>
                <w14:ligatures w14:val="none"/>
              </w:rPr>
              <w:t>alpha_ess_bulk</w:t>
            </w:r>
            <w:proofErr w:type="spellEnd"/>
          </w:p>
        </w:tc>
        <w:tc>
          <w:tcPr>
            <w:tcW w:w="1300" w:type="dxa"/>
            <w:tcBorders>
              <w:top w:val="nil"/>
              <w:left w:val="nil"/>
              <w:bottom w:val="nil"/>
              <w:right w:val="nil"/>
            </w:tcBorders>
            <w:noWrap/>
            <w:vAlign w:val="center"/>
            <w:hideMark/>
          </w:tcPr>
          <w:p w14:paraId="21C6580F"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19929.70 </w:t>
            </w:r>
          </w:p>
        </w:tc>
        <w:tc>
          <w:tcPr>
            <w:tcW w:w="1440" w:type="dxa"/>
            <w:tcBorders>
              <w:top w:val="nil"/>
              <w:left w:val="nil"/>
              <w:bottom w:val="nil"/>
              <w:right w:val="nil"/>
            </w:tcBorders>
            <w:noWrap/>
            <w:vAlign w:val="center"/>
            <w:hideMark/>
          </w:tcPr>
          <w:p w14:paraId="512D0E4A"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4591.23 </w:t>
            </w:r>
          </w:p>
        </w:tc>
        <w:tc>
          <w:tcPr>
            <w:tcW w:w="2000" w:type="dxa"/>
            <w:tcBorders>
              <w:top w:val="nil"/>
              <w:left w:val="nil"/>
              <w:bottom w:val="nil"/>
              <w:right w:val="nil"/>
            </w:tcBorders>
            <w:noWrap/>
            <w:vAlign w:val="center"/>
            <w:hideMark/>
          </w:tcPr>
          <w:p w14:paraId="488A1ABA"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12668.01 </w:t>
            </w:r>
          </w:p>
        </w:tc>
        <w:tc>
          <w:tcPr>
            <w:tcW w:w="1840" w:type="dxa"/>
            <w:tcBorders>
              <w:top w:val="nil"/>
              <w:left w:val="nil"/>
              <w:bottom w:val="nil"/>
              <w:right w:val="nil"/>
            </w:tcBorders>
            <w:noWrap/>
            <w:vAlign w:val="center"/>
            <w:hideMark/>
          </w:tcPr>
          <w:p w14:paraId="75303659"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15027.26 </w:t>
            </w:r>
          </w:p>
        </w:tc>
        <w:tc>
          <w:tcPr>
            <w:tcW w:w="1560" w:type="dxa"/>
            <w:tcBorders>
              <w:top w:val="nil"/>
              <w:left w:val="nil"/>
              <w:bottom w:val="nil"/>
              <w:right w:val="nil"/>
            </w:tcBorders>
            <w:noWrap/>
            <w:vAlign w:val="center"/>
            <w:hideMark/>
          </w:tcPr>
          <w:p w14:paraId="55A1D9EF"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9636.08 </w:t>
            </w:r>
          </w:p>
        </w:tc>
        <w:tc>
          <w:tcPr>
            <w:tcW w:w="1300" w:type="dxa"/>
            <w:tcBorders>
              <w:top w:val="nil"/>
              <w:left w:val="nil"/>
              <w:bottom w:val="nil"/>
              <w:right w:val="nil"/>
            </w:tcBorders>
            <w:noWrap/>
            <w:vAlign w:val="center"/>
            <w:hideMark/>
          </w:tcPr>
          <w:p w14:paraId="3D328B5A"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6643.57 </w:t>
            </w:r>
          </w:p>
        </w:tc>
        <w:tc>
          <w:tcPr>
            <w:tcW w:w="1520" w:type="dxa"/>
            <w:tcBorders>
              <w:top w:val="nil"/>
              <w:left w:val="nil"/>
              <w:bottom w:val="nil"/>
              <w:right w:val="nil"/>
            </w:tcBorders>
            <w:noWrap/>
            <w:vAlign w:val="center"/>
            <w:hideMark/>
          </w:tcPr>
          <w:p w14:paraId="5718DA41"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4104.85 </w:t>
            </w:r>
          </w:p>
        </w:tc>
      </w:tr>
      <w:tr w:rsidR="00732205" w:rsidRPr="00732205" w14:paraId="067ED27E" w14:textId="77777777" w:rsidTr="00732205">
        <w:trPr>
          <w:trHeight w:val="320"/>
          <w:jc w:val="center"/>
        </w:trPr>
        <w:tc>
          <w:tcPr>
            <w:tcW w:w="2080" w:type="dxa"/>
            <w:tcBorders>
              <w:top w:val="nil"/>
              <w:left w:val="nil"/>
              <w:bottom w:val="nil"/>
              <w:right w:val="nil"/>
            </w:tcBorders>
            <w:noWrap/>
            <w:vAlign w:val="center"/>
            <w:hideMark/>
          </w:tcPr>
          <w:p w14:paraId="2F85698E" w14:textId="77777777" w:rsidR="00732205" w:rsidRPr="00732205" w:rsidRDefault="00732205" w:rsidP="00732205">
            <w:pPr>
              <w:widowControl/>
              <w:spacing w:after="0" w:line="240" w:lineRule="auto"/>
              <w:rPr>
                <w:rFonts w:ascii="TimesNewRomanPSMT" w:eastAsia="ＭＳ Ｐゴシック" w:hAnsi="TimesNewRomanPSMT" w:cs="ＭＳ Ｐゴシック" w:hint="eastAsia"/>
                <w:color w:val="000000"/>
                <w:kern w:val="0"/>
                <w:sz w:val="24"/>
                <w14:ligatures w14:val="none"/>
              </w:rPr>
            </w:pPr>
            <w:proofErr w:type="spellStart"/>
            <w:r w:rsidRPr="00732205">
              <w:rPr>
                <w:rFonts w:ascii="TimesNewRomanPSMT" w:eastAsia="ＭＳ Ｐゴシック" w:hAnsi="TimesNewRomanPSMT" w:cs="ＭＳ Ｐゴシック"/>
                <w:color w:val="000000"/>
                <w:kern w:val="0"/>
                <w:sz w:val="24"/>
                <w14:ligatures w14:val="none"/>
              </w:rPr>
              <w:t>alpha_ess_tail</w:t>
            </w:r>
            <w:proofErr w:type="spellEnd"/>
          </w:p>
        </w:tc>
        <w:tc>
          <w:tcPr>
            <w:tcW w:w="1300" w:type="dxa"/>
            <w:tcBorders>
              <w:top w:val="nil"/>
              <w:left w:val="nil"/>
              <w:bottom w:val="nil"/>
              <w:right w:val="nil"/>
            </w:tcBorders>
            <w:noWrap/>
            <w:vAlign w:val="center"/>
            <w:hideMark/>
          </w:tcPr>
          <w:p w14:paraId="2C2F2C0D"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21866.74 </w:t>
            </w:r>
          </w:p>
        </w:tc>
        <w:tc>
          <w:tcPr>
            <w:tcW w:w="1440" w:type="dxa"/>
            <w:tcBorders>
              <w:top w:val="nil"/>
              <w:left w:val="nil"/>
              <w:bottom w:val="nil"/>
              <w:right w:val="nil"/>
            </w:tcBorders>
            <w:noWrap/>
            <w:vAlign w:val="center"/>
            <w:hideMark/>
          </w:tcPr>
          <w:p w14:paraId="28B9C2CB"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13982.48 </w:t>
            </w:r>
          </w:p>
        </w:tc>
        <w:tc>
          <w:tcPr>
            <w:tcW w:w="2000" w:type="dxa"/>
            <w:tcBorders>
              <w:top w:val="nil"/>
              <w:left w:val="nil"/>
              <w:bottom w:val="nil"/>
              <w:right w:val="nil"/>
            </w:tcBorders>
            <w:noWrap/>
            <w:vAlign w:val="center"/>
            <w:hideMark/>
          </w:tcPr>
          <w:p w14:paraId="7972B7F0"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18576.58 </w:t>
            </w:r>
          </w:p>
        </w:tc>
        <w:tc>
          <w:tcPr>
            <w:tcW w:w="1840" w:type="dxa"/>
            <w:tcBorders>
              <w:top w:val="nil"/>
              <w:left w:val="nil"/>
              <w:bottom w:val="nil"/>
              <w:right w:val="nil"/>
            </w:tcBorders>
            <w:noWrap/>
            <w:vAlign w:val="center"/>
            <w:hideMark/>
          </w:tcPr>
          <w:p w14:paraId="41077C5B"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19322.64 </w:t>
            </w:r>
          </w:p>
        </w:tc>
        <w:tc>
          <w:tcPr>
            <w:tcW w:w="1560" w:type="dxa"/>
            <w:tcBorders>
              <w:top w:val="nil"/>
              <w:left w:val="nil"/>
              <w:bottom w:val="nil"/>
              <w:right w:val="nil"/>
            </w:tcBorders>
            <w:noWrap/>
            <w:vAlign w:val="center"/>
            <w:hideMark/>
          </w:tcPr>
          <w:p w14:paraId="573A86CC"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19901.10 </w:t>
            </w:r>
          </w:p>
        </w:tc>
        <w:tc>
          <w:tcPr>
            <w:tcW w:w="1300" w:type="dxa"/>
            <w:tcBorders>
              <w:top w:val="nil"/>
              <w:left w:val="nil"/>
              <w:bottom w:val="nil"/>
              <w:right w:val="nil"/>
            </w:tcBorders>
            <w:noWrap/>
            <w:vAlign w:val="center"/>
            <w:hideMark/>
          </w:tcPr>
          <w:p w14:paraId="7B5234D8"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14465.11 </w:t>
            </w:r>
          </w:p>
        </w:tc>
        <w:tc>
          <w:tcPr>
            <w:tcW w:w="1520" w:type="dxa"/>
            <w:tcBorders>
              <w:top w:val="nil"/>
              <w:left w:val="nil"/>
              <w:bottom w:val="nil"/>
              <w:right w:val="nil"/>
            </w:tcBorders>
            <w:noWrap/>
            <w:vAlign w:val="center"/>
            <w:hideMark/>
          </w:tcPr>
          <w:p w14:paraId="1BC24286"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11584.81 </w:t>
            </w:r>
          </w:p>
        </w:tc>
      </w:tr>
      <w:tr w:rsidR="00732205" w:rsidRPr="00732205" w14:paraId="042F01DA" w14:textId="77777777" w:rsidTr="00732205">
        <w:trPr>
          <w:trHeight w:val="320"/>
          <w:jc w:val="center"/>
        </w:trPr>
        <w:tc>
          <w:tcPr>
            <w:tcW w:w="2080" w:type="dxa"/>
            <w:tcBorders>
              <w:top w:val="nil"/>
              <w:left w:val="nil"/>
              <w:bottom w:val="nil"/>
              <w:right w:val="nil"/>
            </w:tcBorders>
            <w:noWrap/>
            <w:vAlign w:val="center"/>
            <w:hideMark/>
          </w:tcPr>
          <w:p w14:paraId="4A5DEE02" w14:textId="77777777" w:rsidR="00732205" w:rsidRPr="00732205" w:rsidRDefault="00732205" w:rsidP="00732205">
            <w:pPr>
              <w:widowControl/>
              <w:spacing w:after="0" w:line="240" w:lineRule="auto"/>
              <w:rPr>
                <w:rFonts w:ascii="TimesNewRomanPSMT" w:eastAsia="ＭＳ Ｐゴシック" w:hAnsi="TimesNewRomanPSMT" w:cs="ＭＳ Ｐゴシック" w:hint="eastAsia"/>
                <w:color w:val="000000"/>
                <w:kern w:val="0"/>
                <w:sz w:val="24"/>
                <w14:ligatures w14:val="none"/>
              </w:rPr>
            </w:pPr>
            <w:proofErr w:type="spellStart"/>
            <w:r w:rsidRPr="00732205">
              <w:rPr>
                <w:rFonts w:ascii="TimesNewRomanPSMT" w:eastAsia="ＭＳ Ｐゴシック" w:hAnsi="TimesNewRomanPSMT" w:cs="ＭＳ Ｐゴシック"/>
                <w:color w:val="000000"/>
                <w:kern w:val="0"/>
                <w:sz w:val="24"/>
                <w14:ligatures w14:val="none"/>
              </w:rPr>
              <w:t>beta_median</w:t>
            </w:r>
            <w:proofErr w:type="spellEnd"/>
          </w:p>
        </w:tc>
        <w:tc>
          <w:tcPr>
            <w:tcW w:w="1300" w:type="dxa"/>
            <w:tcBorders>
              <w:top w:val="nil"/>
              <w:left w:val="nil"/>
              <w:bottom w:val="nil"/>
              <w:right w:val="nil"/>
            </w:tcBorders>
            <w:noWrap/>
            <w:vAlign w:val="center"/>
            <w:hideMark/>
          </w:tcPr>
          <w:p w14:paraId="1080B273"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3.46 </w:t>
            </w:r>
          </w:p>
        </w:tc>
        <w:tc>
          <w:tcPr>
            <w:tcW w:w="1440" w:type="dxa"/>
            <w:tcBorders>
              <w:top w:val="nil"/>
              <w:left w:val="nil"/>
              <w:bottom w:val="nil"/>
              <w:right w:val="nil"/>
            </w:tcBorders>
            <w:noWrap/>
            <w:vAlign w:val="center"/>
            <w:hideMark/>
          </w:tcPr>
          <w:p w14:paraId="344A9296"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3.40 </w:t>
            </w:r>
          </w:p>
        </w:tc>
        <w:tc>
          <w:tcPr>
            <w:tcW w:w="2000" w:type="dxa"/>
            <w:tcBorders>
              <w:top w:val="nil"/>
              <w:left w:val="nil"/>
              <w:bottom w:val="nil"/>
              <w:right w:val="nil"/>
            </w:tcBorders>
            <w:noWrap/>
            <w:vAlign w:val="center"/>
            <w:hideMark/>
          </w:tcPr>
          <w:p w14:paraId="2BE64FCC"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3.88 </w:t>
            </w:r>
          </w:p>
        </w:tc>
        <w:tc>
          <w:tcPr>
            <w:tcW w:w="1840" w:type="dxa"/>
            <w:tcBorders>
              <w:top w:val="nil"/>
              <w:left w:val="nil"/>
              <w:bottom w:val="nil"/>
              <w:right w:val="nil"/>
            </w:tcBorders>
            <w:noWrap/>
            <w:vAlign w:val="center"/>
            <w:hideMark/>
          </w:tcPr>
          <w:p w14:paraId="3D900DA4"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3.36 </w:t>
            </w:r>
          </w:p>
        </w:tc>
        <w:tc>
          <w:tcPr>
            <w:tcW w:w="1560" w:type="dxa"/>
            <w:tcBorders>
              <w:top w:val="nil"/>
              <w:left w:val="nil"/>
              <w:bottom w:val="nil"/>
              <w:right w:val="nil"/>
            </w:tcBorders>
            <w:noWrap/>
            <w:vAlign w:val="center"/>
            <w:hideMark/>
          </w:tcPr>
          <w:p w14:paraId="5A681FD2"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3.05 </w:t>
            </w:r>
          </w:p>
        </w:tc>
        <w:tc>
          <w:tcPr>
            <w:tcW w:w="1300" w:type="dxa"/>
            <w:tcBorders>
              <w:top w:val="nil"/>
              <w:left w:val="nil"/>
              <w:bottom w:val="nil"/>
              <w:right w:val="nil"/>
            </w:tcBorders>
            <w:noWrap/>
            <w:vAlign w:val="center"/>
            <w:hideMark/>
          </w:tcPr>
          <w:p w14:paraId="6799B3EC"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1.35 </w:t>
            </w:r>
          </w:p>
        </w:tc>
        <w:tc>
          <w:tcPr>
            <w:tcW w:w="1520" w:type="dxa"/>
            <w:tcBorders>
              <w:top w:val="nil"/>
              <w:left w:val="nil"/>
              <w:bottom w:val="nil"/>
              <w:right w:val="nil"/>
            </w:tcBorders>
            <w:noWrap/>
            <w:vAlign w:val="center"/>
            <w:hideMark/>
          </w:tcPr>
          <w:p w14:paraId="0E984F83"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3.32 </w:t>
            </w:r>
          </w:p>
        </w:tc>
      </w:tr>
      <w:tr w:rsidR="00732205" w:rsidRPr="00732205" w14:paraId="7C7D546C" w14:textId="77777777" w:rsidTr="00732205">
        <w:trPr>
          <w:trHeight w:val="320"/>
          <w:jc w:val="center"/>
        </w:trPr>
        <w:tc>
          <w:tcPr>
            <w:tcW w:w="2080" w:type="dxa"/>
            <w:tcBorders>
              <w:top w:val="nil"/>
              <w:left w:val="nil"/>
              <w:bottom w:val="nil"/>
              <w:right w:val="nil"/>
            </w:tcBorders>
            <w:noWrap/>
            <w:vAlign w:val="center"/>
            <w:hideMark/>
          </w:tcPr>
          <w:p w14:paraId="1A66B096" w14:textId="77777777" w:rsidR="00732205" w:rsidRPr="00732205" w:rsidRDefault="00732205" w:rsidP="00732205">
            <w:pPr>
              <w:widowControl/>
              <w:spacing w:after="0" w:line="240" w:lineRule="auto"/>
              <w:rPr>
                <w:rFonts w:ascii="TimesNewRomanPSMT" w:eastAsia="ＭＳ Ｐゴシック" w:hAnsi="TimesNewRomanPSMT" w:cs="ＭＳ Ｐゴシック" w:hint="eastAsia"/>
                <w:color w:val="000000"/>
                <w:kern w:val="0"/>
                <w:sz w:val="24"/>
                <w14:ligatures w14:val="none"/>
              </w:rPr>
            </w:pPr>
            <w:proofErr w:type="spellStart"/>
            <w:r w:rsidRPr="00732205">
              <w:rPr>
                <w:rFonts w:ascii="TimesNewRomanPSMT" w:eastAsia="ＭＳ Ｐゴシック" w:hAnsi="TimesNewRomanPSMT" w:cs="ＭＳ Ｐゴシック"/>
                <w:color w:val="000000"/>
                <w:kern w:val="0"/>
                <w:sz w:val="24"/>
                <w14:ligatures w14:val="none"/>
              </w:rPr>
              <w:t>beta_hdi_lo</w:t>
            </w:r>
            <w:proofErr w:type="spellEnd"/>
          </w:p>
        </w:tc>
        <w:tc>
          <w:tcPr>
            <w:tcW w:w="1300" w:type="dxa"/>
            <w:tcBorders>
              <w:top w:val="nil"/>
              <w:left w:val="nil"/>
              <w:bottom w:val="nil"/>
              <w:right w:val="nil"/>
            </w:tcBorders>
            <w:noWrap/>
            <w:vAlign w:val="center"/>
            <w:hideMark/>
          </w:tcPr>
          <w:p w14:paraId="70911A4B"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2.61 </w:t>
            </w:r>
          </w:p>
        </w:tc>
        <w:tc>
          <w:tcPr>
            <w:tcW w:w="1440" w:type="dxa"/>
            <w:tcBorders>
              <w:top w:val="nil"/>
              <w:left w:val="nil"/>
              <w:bottom w:val="nil"/>
              <w:right w:val="nil"/>
            </w:tcBorders>
            <w:noWrap/>
            <w:vAlign w:val="center"/>
            <w:hideMark/>
          </w:tcPr>
          <w:p w14:paraId="09AAAB1B"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1.95 </w:t>
            </w:r>
          </w:p>
        </w:tc>
        <w:tc>
          <w:tcPr>
            <w:tcW w:w="2000" w:type="dxa"/>
            <w:tcBorders>
              <w:top w:val="nil"/>
              <w:left w:val="nil"/>
              <w:bottom w:val="nil"/>
              <w:right w:val="nil"/>
            </w:tcBorders>
            <w:noWrap/>
            <w:vAlign w:val="center"/>
            <w:hideMark/>
          </w:tcPr>
          <w:p w14:paraId="7372E806"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2.97 </w:t>
            </w:r>
          </w:p>
        </w:tc>
        <w:tc>
          <w:tcPr>
            <w:tcW w:w="1840" w:type="dxa"/>
            <w:tcBorders>
              <w:top w:val="nil"/>
              <w:left w:val="nil"/>
              <w:bottom w:val="nil"/>
              <w:right w:val="nil"/>
            </w:tcBorders>
            <w:noWrap/>
            <w:vAlign w:val="center"/>
            <w:hideMark/>
          </w:tcPr>
          <w:p w14:paraId="1A3C1762"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2.75 </w:t>
            </w:r>
          </w:p>
        </w:tc>
        <w:tc>
          <w:tcPr>
            <w:tcW w:w="1560" w:type="dxa"/>
            <w:tcBorders>
              <w:top w:val="nil"/>
              <w:left w:val="nil"/>
              <w:bottom w:val="nil"/>
              <w:right w:val="nil"/>
            </w:tcBorders>
            <w:noWrap/>
            <w:vAlign w:val="center"/>
            <w:hideMark/>
          </w:tcPr>
          <w:p w14:paraId="0E59BEFB"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1.16 </w:t>
            </w:r>
          </w:p>
        </w:tc>
        <w:tc>
          <w:tcPr>
            <w:tcW w:w="1300" w:type="dxa"/>
            <w:tcBorders>
              <w:top w:val="nil"/>
              <w:left w:val="nil"/>
              <w:bottom w:val="nil"/>
              <w:right w:val="nil"/>
            </w:tcBorders>
            <w:noWrap/>
            <w:vAlign w:val="center"/>
            <w:hideMark/>
          </w:tcPr>
          <w:p w14:paraId="24005563"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0.22 </w:t>
            </w:r>
          </w:p>
        </w:tc>
        <w:tc>
          <w:tcPr>
            <w:tcW w:w="1520" w:type="dxa"/>
            <w:tcBorders>
              <w:top w:val="nil"/>
              <w:left w:val="nil"/>
              <w:bottom w:val="nil"/>
              <w:right w:val="nil"/>
            </w:tcBorders>
            <w:noWrap/>
            <w:vAlign w:val="center"/>
            <w:hideMark/>
          </w:tcPr>
          <w:p w14:paraId="3BD88544"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2.89 </w:t>
            </w:r>
          </w:p>
        </w:tc>
      </w:tr>
      <w:tr w:rsidR="00732205" w:rsidRPr="00732205" w14:paraId="677B1B75" w14:textId="77777777" w:rsidTr="00732205">
        <w:trPr>
          <w:trHeight w:val="320"/>
          <w:jc w:val="center"/>
        </w:trPr>
        <w:tc>
          <w:tcPr>
            <w:tcW w:w="2080" w:type="dxa"/>
            <w:tcBorders>
              <w:top w:val="nil"/>
              <w:left w:val="nil"/>
              <w:bottom w:val="nil"/>
              <w:right w:val="nil"/>
            </w:tcBorders>
            <w:noWrap/>
            <w:vAlign w:val="center"/>
            <w:hideMark/>
          </w:tcPr>
          <w:p w14:paraId="6F1CA174" w14:textId="77777777" w:rsidR="00732205" w:rsidRPr="00732205" w:rsidRDefault="00732205" w:rsidP="00732205">
            <w:pPr>
              <w:widowControl/>
              <w:spacing w:after="0" w:line="240" w:lineRule="auto"/>
              <w:rPr>
                <w:rFonts w:ascii="TimesNewRomanPSMT" w:eastAsia="ＭＳ Ｐゴシック" w:hAnsi="TimesNewRomanPSMT" w:cs="ＭＳ Ｐゴシック" w:hint="eastAsia"/>
                <w:color w:val="000000"/>
                <w:kern w:val="0"/>
                <w:sz w:val="24"/>
                <w14:ligatures w14:val="none"/>
              </w:rPr>
            </w:pPr>
            <w:proofErr w:type="spellStart"/>
            <w:r w:rsidRPr="00732205">
              <w:rPr>
                <w:rFonts w:ascii="TimesNewRomanPSMT" w:eastAsia="ＭＳ Ｐゴシック" w:hAnsi="TimesNewRomanPSMT" w:cs="ＭＳ Ｐゴシック"/>
                <w:color w:val="000000"/>
                <w:kern w:val="0"/>
                <w:sz w:val="24"/>
                <w14:ligatures w14:val="none"/>
              </w:rPr>
              <w:t>beta_hdi_hi</w:t>
            </w:r>
            <w:proofErr w:type="spellEnd"/>
          </w:p>
        </w:tc>
        <w:tc>
          <w:tcPr>
            <w:tcW w:w="1300" w:type="dxa"/>
            <w:tcBorders>
              <w:top w:val="nil"/>
              <w:left w:val="nil"/>
              <w:bottom w:val="nil"/>
              <w:right w:val="nil"/>
            </w:tcBorders>
            <w:noWrap/>
            <w:vAlign w:val="center"/>
            <w:hideMark/>
          </w:tcPr>
          <w:p w14:paraId="386AC079"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4.29 </w:t>
            </w:r>
          </w:p>
        </w:tc>
        <w:tc>
          <w:tcPr>
            <w:tcW w:w="1440" w:type="dxa"/>
            <w:tcBorders>
              <w:top w:val="nil"/>
              <w:left w:val="nil"/>
              <w:bottom w:val="nil"/>
              <w:right w:val="nil"/>
            </w:tcBorders>
            <w:noWrap/>
            <w:vAlign w:val="center"/>
            <w:hideMark/>
          </w:tcPr>
          <w:p w14:paraId="7266B9FF"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4.93 </w:t>
            </w:r>
          </w:p>
        </w:tc>
        <w:tc>
          <w:tcPr>
            <w:tcW w:w="2000" w:type="dxa"/>
            <w:tcBorders>
              <w:top w:val="nil"/>
              <w:left w:val="nil"/>
              <w:bottom w:val="nil"/>
              <w:right w:val="nil"/>
            </w:tcBorders>
            <w:noWrap/>
            <w:vAlign w:val="center"/>
            <w:hideMark/>
          </w:tcPr>
          <w:p w14:paraId="69FA55E2"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4.80 </w:t>
            </w:r>
          </w:p>
        </w:tc>
        <w:tc>
          <w:tcPr>
            <w:tcW w:w="1840" w:type="dxa"/>
            <w:tcBorders>
              <w:top w:val="nil"/>
              <w:left w:val="nil"/>
              <w:bottom w:val="nil"/>
              <w:right w:val="nil"/>
            </w:tcBorders>
            <w:noWrap/>
            <w:vAlign w:val="center"/>
            <w:hideMark/>
          </w:tcPr>
          <w:p w14:paraId="43BDAEAB"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3.99 </w:t>
            </w:r>
          </w:p>
        </w:tc>
        <w:tc>
          <w:tcPr>
            <w:tcW w:w="1560" w:type="dxa"/>
            <w:tcBorders>
              <w:top w:val="nil"/>
              <w:left w:val="nil"/>
              <w:bottom w:val="nil"/>
              <w:right w:val="nil"/>
            </w:tcBorders>
            <w:noWrap/>
            <w:vAlign w:val="center"/>
            <w:hideMark/>
          </w:tcPr>
          <w:p w14:paraId="5EE2C1B7"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4.90 </w:t>
            </w:r>
          </w:p>
        </w:tc>
        <w:tc>
          <w:tcPr>
            <w:tcW w:w="1300" w:type="dxa"/>
            <w:tcBorders>
              <w:top w:val="nil"/>
              <w:left w:val="nil"/>
              <w:bottom w:val="nil"/>
              <w:right w:val="nil"/>
            </w:tcBorders>
            <w:noWrap/>
            <w:vAlign w:val="center"/>
            <w:hideMark/>
          </w:tcPr>
          <w:p w14:paraId="3C2E8364"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2.47 </w:t>
            </w:r>
          </w:p>
        </w:tc>
        <w:tc>
          <w:tcPr>
            <w:tcW w:w="1520" w:type="dxa"/>
            <w:tcBorders>
              <w:top w:val="nil"/>
              <w:left w:val="nil"/>
              <w:bottom w:val="nil"/>
              <w:right w:val="nil"/>
            </w:tcBorders>
            <w:noWrap/>
            <w:vAlign w:val="center"/>
            <w:hideMark/>
          </w:tcPr>
          <w:p w14:paraId="5F735B1C"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3.75 </w:t>
            </w:r>
          </w:p>
        </w:tc>
      </w:tr>
      <w:tr w:rsidR="00732205" w:rsidRPr="00732205" w14:paraId="392D285A" w14:textId="77777777" w:rsidTr="00732205">
        <w:trPr>
          <w:trHeight w:val="320"/>
          <w:jc w:val="center"/>
        </w:trPr>
        <w:tc>
          <w:tcPr>
            <w:tcW w:w="2080" w:type="dxa"/>
            <w:tcBorders>
              <w:top w:val="nil"/>
              <w:left w:val="nil"/>
              <w:bottom w:val="nil"/>
              <w:right w:val="nil"/>
            </w:tcBorders>
            <w:noWrap/>
            <w:vAlign w:val="center"/>
            <w:hideMark/>
          </w:tcPr>
          <w:p w14:paraId="78D952FC" w14:textId="77777777" w:rsidR="00732205" w:rsidRPr="00732205" w:rsidRDefault="00732205" w:rsidP="00732205">
            <w:pPr>
              <w:widowControl/>
              <w:spacing w:after="0" w:line="240" w:lineRule="auto"/>
              <w:rPr>
                <w:rFonts w:ascii="TimesNewRomanPSMT" w:eastAsia="ＭＳ Ｐゴシック" w:hAnsi="TimesNewRomanPSMT" w:cs="ＭＳ Ｐゴシック" w:hint="eastAsia"/>
                <w:color w:val="000000"/>
                <w:kern w:val="0"/>
                <w:sz w:val="24"/>
                <w14:ligatures w14:val="none"/>
              </w:rPr>
            </w:pPr>
            <w:proofErr w:type="spellStart"/>
            <w:r w:rsidRPr="00732205">
              <w:rPr>
                <w:rFonts w:ascii="TimesNewRomanPSMT" w:eastAsia="ＭＳ Ｐゴシック" w:hAnsi="TimesNewRomanPSMT" w:cs="ＭＳ Ｐゴシック"/>
                <w:color w:val="000000"/>
                <w:kern w:val="0"/>
                <w:sz w:val="24"/>
                <w14:ligatures w14:val="none"/>
              </w:rPr>
              <w:t>beta_rhat</w:t>
            </w:r>
            <w:proofErr w:type="spellEnd"/>
          </w:p>
        </w:tc>
        <w:tc>
          <w:tcPr>
            <w:tcW w:w="1300" w:type="dxa"/>
            <w:tcBorders>
              <w:top w:val="nil"/>
              <w:left w:val="nil"/>
              <w:bottom w:val="nil"/>
              <w:right w:val="nil"/>
            </w:tcBorders>
            <w:noWrap/>
            <w:vAlign w:val="center"/>
            <w:hideMark/>
          </w:tcPr>
          <w:p w14:paraId="44517493"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1.00 </w:t>
            </w:r>
          </w:p>
        </w:tc>
        <w:tc>
          <w:tcPr>
            <w:tcW w:w="1440" w:type="dxa"/>
            <w:tcBorders>
              <w:top w:val="nil"/>
              <w:left w:val="nil"/>
              <w:bottom w:val="nil"/>
              <w:right w:val="nil"/>
            </w:tcBorders>
            <w:noWrap/>
            <w:vAlign w:val="center"/>
            <w:hideMark/>
          </w:tcPr>
          <w:p w14:paraId="03F1FBF4"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1.01 </w:t>
            </w:r>
          </w:p>
        </w:tc>
        <w:tc>
          <w:tcPr>
            <w:tcW w:w="2000" w:type="dxa"/>
            <w:tcBorders>
              <w:top w:val="nil"/>
              <w:left w:val="nil"/>
              <w:bottom w:val="nil"/>
              <w:right w:val="nil"/>
            </w:tcBorders>
            <w:noWrap/>
            <w:vAlign w:val="center"/>
            <w:hideMark/>
          </w:tcPr>
          <w:p w14:paraId="755B7D3B"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1.00 </w:t>
            </w:r>
          </w:p>
        </w:tc>
        <w:tc>
          <w:tcPr>
            <w:tcW w:w="1840" w:type="dxa"/>
            <w:tcBorders>
              <w:top w:val="nil"/>
              <w:left w:val="nil"/>
              <w:bottom w:val="nil"/>
              <w:right w:val="nil"/>
            </w:tcBorders>
            <w:noWrap/>
            <w:vAlign w:val="center"/>
            <w:hideMark/>
          </w:tcPr>
          <w:p w14:paraId="51E0261C"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1.00 </w:t>
            </w:r>
          </w:p>
        </w:tc>
        <w:tc>
          <w:tcPr>
            <w:tcW w:w="1560" w:type="dxa"/>
            <w:tcBorders>
              <w:top w:val="nil"/>
              <w:left w:val="nil"/>
              <w:bottom w:val="nil"/>
              <w:right w:val="nil"/>
            </w:tcBorders>
            <w:noWrap/>
            <w:vAlign w:val="center"/>
            <w:hideMark/>
          </w:tcPr>
          <w:p w14:paraId="1F22ECBF"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1.00 </w:t>
            </w:r>
          </w:p>
        </w:tc>
        <w:tc>
          <w:tcPr>
            <w:tcW w:w="1300" w:type="dxa"/>
            <w:tcBorders>
              <w:top w:val="nil"/>
              <w:left w:val="nil"/>
              <w:bottom w:val="nil"/>
              <w:right w:val="nil"/>
            </w:tcBorders>
            <w:noWrap/>
            <w:vAlign w:val="center"/>
            <w:hideMark/>
          </w:tcPr>
          <w:p w14:paraId="19E1166F"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1.00 </w:t>
            </w:r>
          </w:p>
        </w:tc>
        <w:tc>
          <w:tcPr>
            <w:tcW w:w="1520" w:type="dxa"/>
            <w:tcBorders>
              <w:top w:val="nil"/>
              <w:left w:val="nil"/>
              <w:bottom w:val="nil"/>
              <w:right w:val="nil"/>
            </w:tcBorders>
            <w:noWrap/>
            <w:vAlign w:val="center"/>
            <w:hideMark/>
          </w:tcPr>
          <w:p w14:paraId="6B2658E5"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1.01 </w:t>
            </w:r>
          </w:p>
        </w:tc>
      </w:tr>
      <w:tr w:rsidR="00732205" w:rsidRPr="00732205" w14:paraId="2FA9283E" w14:textId="77777777" w:rsidTr="00732205">
        <w:trPr>
          <w:trHeight w:val="320"/>
          <w:jc w:val="center"/>
        </w:trPr>
        <w:tc>
          <w:tcPr>
            <w:tcW w:w="2080" w:type="dxa"/>
            <w:tcBorders>
              <w:top w:val="nil"/>
              <w:left w:val="nil"/>
              <w:bottom w:val="nil"/>
              <w:right w:val="nil"/>
            </w:tcBorders>
            <w:noWrap/>
            <w:vAlign w:val="center"/>
            <w:hideMark/>
          </w:tcPr>
          <w:p w14:paraId="1471D266" w14:textId="77777777" w:rsidR="00732205" w:rsidRPr="00732205" w:rsidRDefault="00732205" w:rsidP="00732205">
            <w:pPr>
              <w:widowControl/>
              <w:spacing w:after="0" w:line="240" w:lineRule="auto"/>
              <w:rPr>
                <w:rFonts w:ascii="TimesNewRomanPSMT" w:eastAsia="ＭＳ Ｐゴシック" w:hAnsi="TimesNewRomanPSMT" w:cs="ＭＳ Ｐゴシック" w:hint="eastAsia"/>
                <w:color w:val="000000"/>
                <w:kern w:val="0"/>
                <w:sz w:val="24"/>
                <w14:ligatures w14:val="none"/>
              </w:rPr>
            </w:pPr>
            <w:proofErr w:type="spellStart"/>
            <w:r w:rsidRPr="00732205">
              <w:rPr>
                <w:rFonts w:ascii="TimesNewRomanPSMT" w:eastAsia="ＭＳ Ｐゴシック" w:hAnsi="TimesNewRomanPSMT" w:cs="ＭＳ Ｐゴシック"/>
                <w:color w:val="000000"/>
                <w:kern w:val="0"/>
                <w:sz w:val="24"/>
                <w14:ligatures w14:val="none"/>
              </w:rPr>
              <w:t>beta_ess_bulk</w:t>
            </w:r>
            <w:proofErr w:type="spellEnd"/>
          </w:p>
        </w:tc>
        <w:tc>
          <w:tcPr>
            <w:tcW w:w="1300" w:type="dxa"/>
            <w:tcBorders>
              <w:top w:val="nil"/>
              <w:left w:val="nil"/>
              <w:bottom w:val="nil"/>
              <w:right w:val="nil"/>
            </w:tcBorders>
            <w:noWrap/>
            <w:vAlign w:val="center"/>
            <w:hideMark/>
          </w:tcPr>
          <w:p w14:paraId="6DA15464"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1322.78 </w:t>
            </w:r>
          </w:p>
        </w:tc>
        <w:tc>
          <w:tcPr>
            <w:tcW w:w="1440" w:type="dxa"/>
            <w:tcBorders>
              <w:top w:val="nil"/>
              <w:left w:val="nil"/>
              <w:bottom w:val="nil"/>
              <w:right w:val="nil"/>
            </w:tcBorders>
            <w:noWrap/>
            <w:vAlign w:val="center"/>
            <w:hideMark/>
          </w:tcPr>
          <w:p w14:paraId="612F6927"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534.37 </w:t>
            </w:r>
          </w:p>
        </w:tc>
        <w:tc>
          <w:tcPr>
            <w:tcW w:w="2000" w:type="dxa"/>
            <w:tcBorders>
              <w:top w:val="nil"/>
              <w:left w:val="nil"/>
              <w:bottom w:val="nil"/>
              <w:right w:val="nil"/>
            </w:tcBorders>
            <w:noWrap/>
            <w:vAlign w:val="center"/>
            <w:hideMark/>
          </w:tcPr>
          <w:p w14:paraId="72E1DB80"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4037.91 </w:t>
            </w:r>
          </w:p>
        </w:tc>
        <w:tc>
          <w:tcPr>
            <w:tcW w:w="1840" w:type="dxa"/>
            <w:tcBorders>
              <w:top w:val="nil"/>
              <w:left w:val="nil"/>
              <w:bottom w:val="nil"/>
              <w:right w:val="nil"/>
            </w:tcBorders>
            <w:noWrap/>
            <w:vAlign w:val="center"/>
            <w:hideMark/>
          </w:tcPr>
          <w:p w14:paraId="5DAEB1A3"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3935.36 </w:t>
            </w:r>
          </w:p>
        </w:tc>
        <w:tc>
          <w:tcPr>
            <w:tcW w:w="1560" w:type="dxa"/>
            <w:tcBorders>
              <w:top w:val="nil"/>
              <w:left w:val="nil"/>
              <w:bottom w:val="nil"/>
              <w:right w:val="nil"/>
            </w:tcBorders>
            <w:noWrap/>
            <w:vAlign w:val="center"/>
            <w:hideMark/>
          </w:tcPr>
          <w:p w14:paraId="11E1A8E3"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3950.17 </w:t>
            </w:r>
          </w:p>
        </w:tc>
        <w:tc>
          <w:tcPr>
            <w:tcW w:w="1300" w:type="dxa"/>
            <w:tcBorders>
              <w:top w:val="nil"/>
              <w:left w:val="nil"/>
              <w:bottom w:val="nil"/>
              <w:right w:val="nil"/>
            </w:tcBorders>
            <w:noWrap/>
            <w:vAlign w:val="center"/>
            <w:hideMark/>
          </w:tcPr>
          <w:p w14:paraId="1918CACF"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3431.97 </w:t>
            </w:r>
          </w:p>
        </w:tc>
        <w:tc>
          <w:tcPr>
            <w:tcW w:w="1520" w:type="dxa"/>
            <w:tcBorders>
              <w:top w:val="nil"/>
              <w:left w:val="nil"/>
              <w:bottom w:val="nil"/>
              <w:right w:val="nil"/>
            </w:tcBorders>
            <w:noWrap/>
            <w:vAlign w:val="center"/>
            <w:hideMark/>
          </w:tcPr>
          <w:p w14:paraId="67291F78"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782.86 </w:t>
            </w:r>
          </w:p>
        </w:tc>
      </w:tr>
      <w:tr w:rsidR="00732205" w:rsidRPr="00732205" w14:paraId="7F5FB32F" w14:textId="77777777" w:rsidTr="00732205">
        <w:trPr>
          <w:trHeight w:val="320"/>
          <w:jc w:val="center"/>
        </w:trPr>
        <w:tc>
          <w:tcPr>
            <w:tcW w:w="2080" w:type="dxa"/>
            <w:tcBorders>
              <w:top w:val="nil"/>
              <w:left w:val="nil"/>
              <w:bottom w:val="nil"/>
              <w:right w:val="nil"/>
            </w:tcBorders>
            <w:noWrap/>
            <w:vAlign w:val="center"/>
            <w:hideMark/>
          </w:tcPr>
          <w:p w14:paraId="0779B0B6" w14:textId="77777777" w:rsidR="00732205" w:rsidRPr="00732205" w:rsidRDefault="00732205" w:rsidP="00732205">
            <w:pPr>
              <w:widowControl/>
              <w:spacing w:after="0" w:line="240" w:lineRule="auto"/>
              <w:rPr>
                <w:rFonts w:ascii="TimesNewRomanPSMT" w:eastAsia="ＭＳ Ｐゴシック" w:hAnsi="TimesNewRomanPSMT" w:cs="ＭＳ Ｐゴシック" w:hint="eastAsia"/>
                <w:color w:val="000000"/>
                <w:kern w:val="0"/>
                <w:sz w:val="24"/>
                <w14:ligatures w14:val="none"/>
              </w:rPr>
            </w:pPr>
            <w:proofErr w:type="spellStart"/>
            <w:r w:rsidRPr="00732205">
              <w:rPr>
                <w:rFonts w:ascii="TimesNewRomanPSMT" w:eastAsia="ＭＳ Ｐゴシック" w:hAnsi="TimesNewRomanPSMT" w:cs="ＭＳ Ｐゴシック"/>
                <w:color w:val="000000"/>
                <w:kern w:val="0"/>
                <w:sz w:val="24"/>
                <w14:ligatures w14:val="none"/>
              </w:rPr>
              <w:t>beta_ess_tail</w:t>
            </w:r>
            <w:proofErr w:type="spellEnd"/>
          </w:p>
        </w:tc>
        <w:tc>
          <w:tcPr>
            <w:tcW w:w="1300" w:type="dxa"/>
            <w:tcBorders>
              <w:top w:val="nil"/>
              <w:left w:val="nil"/>
              <w:bottom w:val="nil"/>
              <w:right w:val="nil"/>
            </w:tcBorders>
            <w:noWrap/>
            <w:vAlign w:val="center"/>
            <w:hideMark/>
          </w:tcPr>
          <w:p w14:paraId="627CF5F4"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4881.23 </w:t>
            </w:r>
          </w:p>
        </w:tc>
        <w:tc>
          <w:tcPr>
            <w:tcW w:w="1440" w:type="dxa"/>
            <w:tcBorders>
              <w:top w:val="nil"/>
              <w:left w:val="nil"/>
              <w:bottom w:val="nil"/>
              <w:right w:val="nil"/>
            </w:tcBorders>
            <w:noWrap/>
            <w:vAlign w:val="center"/>
            <w:hideMark/>
          </w:tcPr>
          <w:p w14:paraId="6EF4888D"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2112.94 </w:t>
            </w:r>
          </w:p>
        </w:tc>
        <w:tc>
          <w:tcPr>
            <w:tcW w:w="2000" w:type="dxa"/>
            <w:tcBorders>
              <w:top w:val="nil"/>
              <w:left w:val="nil"/>
              <w:bottom w:val="nil"/>
              <w:right w:val="nil"/>
            </w:tcBorders>
            <w:noWrap/>
            <w:vAlign w:val="center"/>
            <w:hideMark/>
          </w:tcPr>
          <w:p w14:paraId="36276D2E"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13419.34 </w:t>
            </w:r>
          </w:p>
        </w:tc>
        <w:tc>
          <w:tcPr>
            <w:tcW w:w="1840" w:type="dxa"/>
            <w:tcBorders>
              <w:top w:val="nil"/>
              <w:left w:val="nil"/>
              <w:bottom w:val="nil"/>
              <w:right w:val="nil"/>
            </w:tcBorders>
            <w:noWrap/>
            <w:vAlign w:val="center"/>
            <w:hideMark/>
          </w:tcPr>
          <w:p w14:paraId="21943D07"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10490.27 </w:t>
            </w:r>
          </w:p>
        </w:tc>
        <w:tc>
          <w:tcPr>
            <w:tcW w:w="1560" w:type="dxa"/>
            <w:tcBorders>
              <w:top w:val="nil"/>
              <w:left w:val="nil"/>
              <w:bottom w:val="nil"/>
              <w:right w:val="nil"/>
            </w:tcBorders>
            <w:noWrap/>
            <w:vAlign w:val="center"/>
            <w:hideMark/>
          </w:tcPr>
          <w:p w14:paraId="4EF5FBAD"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13140.14 </w:t>
            </w:r>
          </w:p>
        </w:tc>
        <w:tc>
          <w:tcPr>
            <w:tcW w:w="1300" w:type="dxa"/>
            <w:tcBorders>
              <w:top w:val="nil"/>
              <w:left w:val="nil"/>
              <w:bottom w:val="nil"/>
              <w:right w:val="nil"/>
            </w:tcBorders>
            <w:noWrap/>
            <w:vAlign w:val="center"/>
            <w:hideMark/>
          </w:tcPr>
          <w:p w14:paraId="4DC4F649"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9200.74 </w:t>
            </w:r>
          </w:p>
        </w:tc>
        <w:tc>
          <w:tcPr>
            <w:tcW w:w="1520" w:type="dxa"/>
            <w:tcBorders>
              <w:top w:val="nil"/>
              <w:left w:val="nil"/>
              <w:bottom w:val="nil"/>
              <w:right w:val="nil"/>
            </w:tcBorders>
            <w:noWrap/>
            <w:vAlign w:val="center"/>
            <w:hideMark/>
          </w:tcPr>
          <w:p w14:paraId="18293194"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2580.55 </w:t>
            </w:r>
          </w:p>
        </w:tc>
      </w:tr>
      <w:tr w:rsidR="00732205" w:rsidRPr="00732205" w14:paraId="6DC0DEB2" w14:textId="77777777" w:rsidTr="00732205">
        <w:trPr>
          <w:trHeight w:val="320"/>
          <w:jc w:val="center"/>
        </w:trPr>
        <w:tc>
          <w:tcPr>
            <w:tcW w:w="2080" w:type="dxa"/>
            <w:tcBorders>
              <w:top w:val="nil"/>
              <w:left w:val="nil"/>
              <w:bottom w:val="nil"/>
              <w:right w:val="nil"/>
            </w:tcBorders>
            <w:noWrap/>
            <w:vAlign w:val="center"/>
            <w:hideMark/>
          </w:tcPr>
          <w:p w14:paraId="156A09AA" w14:textId="77777777" w:rsidR="00732205" w:rsidRPr="00732205" w:rsidRDefault="00732205" w:rsidP="00732205">
            <w:pPr>
              <w:widowControl/>
              <w:spacing w:after="0" w:line="240" w:lineRule="auto"/>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theta_L2_median</w:t>
            </w:r>
          </w:p>
        </w:tc>
        <w:tc>
          <w:tcPr>
            <w:tcW w:w="1300" w:type="dxa"/>
            <w:tcBorders>
              <w:top w:val="nil"/>
              <w:left w:val="nil"/>
              <w:bottom w:val="nil"/>
              <w:right w:val="nil"/>
            </w:tcBorders>
            <w:noWrap/>
            <w:vAlign w:val="center"/>
            <w:hideMark/>
          </w:tcPr>
          <w:p w14:paraId="20016E57"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0.14 </w:t>
            </w:r>
          </w:p>
        </w:tc>
        <w:tc>
          <w:tcPr>
            <w:tcW w:w="1440" w:type="dxa"/>
            <w:tcBorders>
              <w:top w:val="nil"/>
              <w:left w:val="nil"/>
              <w:bottom w:val="nil"/>
              <w:right w:val="nil"/>
            </w:tcBorders>
            <w:noWrap/>
            <w:vAlign w:val="center"/>
            <w:hideMark/>
          </w:tcPr>
          <w:p w14:paraId="71F2C031"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0.18 </w:t>
            </w:r>
          </w:p>
        </w:tc>
        <w:tc>
          <w:tcPr>
            <w:tcW w:w="2000" w:type="dxa"/>
            <w:tcBorders>
              <w:top w:val="nil"/>
              <w:left w:val="nil"/>
              <w:bottom w:val="nil"/>
              <w:right w:val="nil"/>
            </w:tcBorders>
            <w:noWrap/>
            <w:vAlign w:val="center"/>
            <w:hideMark/>
          </w:tcPr>
          <w:p w14:paraId="08C407AC"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0.11 </w:t>
            </w:r>
          </w:p>
        </w:tc>
        <w:tc>
          <w:tcPr>
            <w:tcW w:w="1840" w:type="dxa"/>
            <w:tcBorders>
              <w:top w:val="nil"/>
              <w:left w:val="nil"/>
              <w:bottom w:val="nil"/>
              <w:right w:val="nil"/>
            </w:tcBorders>
            <w:noWrap/>
            <w:vAlign w:val="center"/>
            <w:hideMark/>
          </w:tcPr>
          <w:p w14:paraId="63670C4D"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0.11 </w:t>
            </w:r>
          </w:p>
        </w:tc>
        <w:tc>
          <w:tcPr>
            <w:tcW w:w="1560" w:type="dxa"/>
            <w:tcBorders>
              <w:top w:val="nil"/>
              <w:left w:val="nil"/>
              <w:bottom w:val="nil"/>
              <w:right w:val="nil"/>
            </w:tcBorders>
            <w:noWrap/>
            <w:vAlign w:val="center"/>
            <w:hideMark/>
          </w:tcPr>
          <w:p w14:paraId="034FD65E"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0.09 </w:t>
            </w:r>
          </w:p>
        </w:tc>
        <w:tc>
          <w:tcPr>
            <w:tcW w:w="1300" w:type="dxa"/>
            <w:tcBorders>
              <w:top w:val="nil"/>
              <w:left w:val="nil"/>
              <w:bottom w:val="nil"/>
              <w:right w:val="nil"/>
            </w:tcBorders>
            <w:noWrap/>
            <w:vAlign w:val="center"/>
            <w:hideMark/>
          </w:tcPr>
          <w:p w14:paraId="28DF994F"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0.12 </w:t>
            </w:r>
          </w:p>
        </w:tc>
        <w:tc>
          <w:tcPr>
            <w:tcW w:w="1520" w:type="dxa"/>
            <w:tcBorders>
              <w:top w:val="nil"/>
              <w:left w:val="nil"/>
              <w:bottom w:val="nil"/>
              <w:right w:val="nil"/>
            </w:tcBorders>
            <w:noWrap/>
            <w:vAlign w:val="center"/>
            <w:hideMark/>
          </w:tcPr>
          <w:p w14:paraId="25093848"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0.37 </w:t>
            </w:r>
          </w:p>
        </w:tc>
      </w:tr>
      <w:tr w:rsidR="00732205" w:rsidRPr="00732205" w14:paraId="7B882739" w14:textId="77777777" w:rsidTr="00732205">
        <w:trPr>
          <w:trHeight w:val="320"/>
          <w:jc w:val="center"/>
        </w:trPr>
        <w:tc>
          <w:tcPr>
            <w:tcW w:w="2080" w:type="dxa"/>
            <w:tcBorders>
              <w:top w:val="nil"/>
              <w:left w:val="nil"/>
              <w:bottom w:val="nil"/>
              <w:right w:val="nil"/>
            </w:tcBorders>
            <w:noWrap/>
            <w:vAlign w:val="center"/>
            <w:hideMark/>
          </w:tcPr>
          <w:p w14:paraId="1B2C49E1" w14:textId="77777777" w:rsidR="00732205" w:rsidRPr="00732205" w:rsidRDefault="00732205" w:rsidP="00732205">
            <w:pPr>
              <w:widowControl/>
              <w:spacing w:after="0" w:line="240" w:lineRule="auto"/>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theta_L2_hdi_lo</w:t>
            </w:r>
          </w:p>
        </w:tc>
        <w:tc>
          <w:tcPr>
            <w:tcW w:w="1300" w:type="dxa"/>
            <w:tcBorders>
              <w:top w:val="nil"/>
              <w:left w:val="nil"/>
              <w:bottom w:val="nil"/>
              <w:right w:val="nil"/>
            </w:tcBorders>
            <w:noWrap/>
            <w:vAlign w:val="center"/>
            <w:hideMark/>
          </w:tcPr>
          <w:p w14:paraId="0D1AEFEB"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0.07 </w:t>
            </w:r>
          </w:p>
        </w:tc>
        <w:tc>
          <w:tcPr>
            <w:tcW w:w="1440" w:type="dxa"/>
            <w:tcBorders>
              <w:top w:val="nil"/>
              <w:left w:val="nil"/>
              <w:bottom w:val="nil"/>
              <w:right w:val="nil"/>
            </w:tcBorders>
            <w:noWrap/>
            <w:vAlign w:val="center"/>
            <w:hideMark/>
          </w:tcPr>
          <w:p w14:paraId="5D72C02B"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0.06 </w:t>
            </w:r>
          </w:p>
        </w:tc>
        <w:tc>
          <w:tcPr>
            <w:tcW w:w="2000" w:type="dxa"/>
            <w:tcBorders>
              <w:top w:val="nil"/>
              <w:left w:val="nil"/>
              <w:bottom w:val="nil"/>
              <w:right w:val="nil"/>
            </w:tcBorders>
            <w:noWrap/>
            <w:vAlign w:val="center"/>
            <w:hideMark/>
          </w:tcPr>
          <w:p w14:paraId="16431B7F"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0.04 </w:t>
            </w:r>
          </w:p>
        </w:tc>
        <w:tc>
          <w:tcPr>
            <w:tcW w:w="1840" w:type="dxa"/>
            <w:tcBorders>
              <w:top w:val="nil"/>
              <w:left w:val="nil"/>
              <w:bottom w:val="nil"/>
              <w:right w:val="nil"/>
            </w:tcBorders>
            <w:noWrap/>
            <w:vAlign w:val="center"/>
            <w:hideMark/>
          </w:tcPr>
          <w:p w14:paraId="2782A3DD"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0.04 </w:t>
            </w:r>
          </w:p>
        </w:tc>
        <w:tc>
          <w:tcPr>
            <w:tcW w:w="1560" w:type="dxa"/>
            <w:tcBorders>
              <w:top w:val="nil"/>
              <w:left w:val="nil"/>
              <w:bottom w:val="nil"/>
              <w:right w:val="nil"/>
            </w:tcBorders>
            <w:noWrap/>
            <w:vAlign w:val="center"/>
            <w:hideMark/>
          </w:tcPr>
          <w:p w14:paraId="59D52F1F"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0.01 </w:t>
            </w:r>
          </w:p>
        </w:tc>
        <w:tc>
          <w:tcPr>
            <w:tcW w:w="1300" w:type="dxa"/>
            <w:tcBorders>
              <w:top w:val="nil"/>
              <w:left w:val="nil"/>
              <w:bottom w:val="nil"/>
              <w:right w:val="nil"/>
            </w:tcBorders>
            <w:noWrap/>
            <w:vAlign w:val="center"/>
            <w:hideMark/>
          </w:tcPr>
          <w:p w14:paraId="627DB04C"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0.07 </w:t>
            </w:r>
          </w:p>
        </w:tc>
        <w:tc>
          <w:tcPr>
            <w:tcW w:w="1520" w:type="dxa"/>
            <w:tcBorders>
              <w:top w:val="nil"/>
              <w:left w:val="nil"/>
              <w:bottom w:val="nil"/>
              <w:right w:val="nil"/>
            </w:tcBorders>
            <w:noWrap/>
            <w:vAlign w:val="center"/>
            <w:hideMark/>
          </w:tcPr>
          <w:p w14:paraId="0AE12D01"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0.18 </w:t>
            </w:r>
          </w:p>
        </w:tc>
      </w:tr>
      <w:tr w:rsidR="00732205" w:rsidRPr="00732205" w14:paraId="2246AEE5" w14:textId="77777777" w:rsidTr="00732205">
        <w:trPr>
          <w:trHeight w:val="320"/>
          <w:jc w:val="center"/>
        </w:trPr>
        <w:tc>
          <w:tcPr>
            <w:tcW w:w="2080" w:type="dxa"/>
            <w:tcBorders>
              <w:top w:val="nil"/>
              <w:left w:val="nil"/>
              <w:bottom w:val="nil"/>
              <w:right w:val="nil"/>
            </w:tcBorders>
            <w:noWrap/>
            <w:vAlign w:val="center"/>
            <w:hideMark/>
          </w:tcPr>
          <w:p w14:paraId="3155A7D3" w14:textId="77777777" w:rsidR="00732205" w:rsidRPr="00732205" w:rsidRDefault="00732205" w:rsidP="00732205">
            <w:pPr>
              <w:widowControl/>
              <w:spacing w:after="0" w:line="240" w:lineRule="auto"/>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theta_L2_hdi_hi</w:t>
            </w:r>
          </w:p>
        </w:tc>
        <w:tc>
          <w:tcPr>
            <w:tcW w:w="1300" w:type="dxa"/>
            <w:tcBorders>
              <w:top w:val="nil"/>
              <w:left w:val="nil"/>
              <w:bottom w:val="nil"/>
              <w:right w:val="nil"/>
            </w:tcBorders>
            <w:noWrap/>
            <w:vAlign w:val="center"/>
            <w:hideMark/>
          </w:tcPr>
          <w:p w14:paraId="3E1415B4"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0.28 </w:t>
            </w:r>
          </w:p>
        </w:tc>
        <w:tc>
          <w:tcPr>
            <w:tcW w:w="1440" w:type="dxa"/>
            <w:tcBorders>
              <w:top w:val="nil"/>
              <w:left w:val="nil"/>
              <w:bottom w:val="nil"/>
              <w:right w:val="nil"/>
            </w:tcBorders>
            <w:noWrap/>
            <w:vAlign w:val="center"/>
            <w:hideMark/>
          </w:tcPr>
          <w:p w14:paraId="2391823E"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0.31 </w:t>
            </w:r>
          </w:p>
        </w:tc>
        <w:tc>
          <w:tcPr>
            <w:tcW w:w="2000" w:type="dxa"/>
            <w:tcBorders>
              <w:top w:val="nil"/>
              <w:left w:val="nil"/>
              <w:bottom w:val="nil"/>
              <w:right w:val="nil"/>
            </w:tcBorders>
            <w:noWrap/>
            <w:vAlign w:val="center"/>
            <w:hideMark/>
          </w:tcPr>
          <w:p w14:paraId="203E54EC"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0.23 </w:t>
            </w:r>
          </w:p>
        </w:tc>
        <w:tc>
          <w:tcPr>
            <w:tcW w:w="1840" w:type="dxa"/>
            <w:tcBorders>
              <w:top w:val="nil"/>
              <w:left w:val="nil"/>
              <w:bottom w:val="nil"/>
              <w:right w:val="nil"/>
            </w:tcBorders>
            <w:noWrap/>
            <w:vAlign w:val="center"/>
            <w:hideMark/>
          </w:tcPr>
          <w:p w14:paraId="124CB7C1"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0.24 </w:t>
            </w:r>
          </w:p>
        </w:tc>
        <w:tc>
          <w:tcPr>
            <w:tcW w:w="1560" w:type="dxa"/>
            <w:tcBorders>
              <w:top w:val="nil"/>
              <w:left w:val="nil"/>
              <w:bottom w:val="nil"/>
              <w:right w:val="nil"/>
            </w:tcBorders>
            <w:noWrap/>
            <w:vAlign w:val="center"/>
            <w:hideMark/>
          </w:tcPr>
          <w:p w14:paraId="24322EAC"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0.21 </w:t>
            </w:r>
          </w:p>
        </w:tc>
        <w:tc>
          <w:tcPr>
            <w:tcW w:w="1300" w:type="dxa"/>
            <w:tcBorders>
              <w:top w:val="nil"/>
              <w:left w:val="nil"/>
              <w:bottom w:val="nil"/>
              <w:right w:val="nil"/>
            </w:tcBorders>
            <w:noWrap/>
            <w:vAlign w:val="center"/>
            <w:hideMark/>
          </w:tcPr>
          <w:p w14:paraId="343541DE"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0.23 </w:t>
            </w:r>
          </w:p>
        </w:tc>
        <w:tc>
          <w:tcPr>
            <w:tcW w:w="1520" w:type="dxa"/>
            <w:tcBorders>
              <w:top w:val="nil"/>
              <w:left w:val="nil"/>
              <w:bottom w:val="nil"/>
              <w:right w:val="nil"/>
            </w:tcBorders>
            <w:noWrap/>
            <w:vAlign w:val="center"/>
            <w:hideMark/>
          </w:tcPr>
          <w:p w14:paraId="7A2CC320"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0.55 </w:t>
            </w:r>
          </w:p>
        </w:tc>
      </w:tr>
      <w:tr w:rsidR="00732205" w:rsidRPr="00732205" w14:paraId="3C591AF2" w14:textId="77777777" w:rsidTr="00732205">
        <w:trPr>
          <w:trHeight w:val="320"/>
          <w:jc w:val="center"/>
        </w:trPr>
        <w:tc>
          <w:tcPr>
            <w:tcW w:w="2080" w:type="dxa"/>
            <w:tcBorders>
              <w:top w:val="nil"/>
              <w:left w:val="nil"/>
              <w:bottom w:val="nil"/>
              <w:right w:val="nil"/>
            </w:tcBorders>
            <w:noWrap/>
            <w:vAlign w:val="center"/>
            <w:hideMark/>
          </w:tcPr>
          <w:p w14:paraId="0CB03BDF" w14:textId="77777777" w:rsidR="00732205" w:rsidRPr="00732205" w:rsidRDefault="00732205" w:rsidP="00732205">
            <w:pPr>
              <w:widowControl/>
              <w:spacing w:after="0" w:line="240" w:lineRule="auto"/>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theta_L2_rhat</w:t>
            </w:r>
          </w:p>
        </w:tc>
        <w:tc>
          <w:tcPr>
            <w:tcW w:w="1300" w:type="dxa"/>
            <w:tcBorders>
              <w:top w:val="nil"/>
              <w:left w:val="nil"/>
              <w:bottom w:val="nil"/>
              <w:right w:val="nil"/>
            </w:tcBorders>
            <w:noWrap/>
            <w:vAlign w:val="center"/>
            <w:hideMark/>
          </w:tcPr>
          <w:p w14:paraId="5FF581B9"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1.01 </w:t>
            </w:r>
          </w:p>
        </w:tc>
        <w:tc>
          <w:tcPr>
            <w:tcW w:w="1440" w:type="dxa"/>
            <w:tcBorders>
              <w:top w:val="nil"/>
              <w:left w:val="nil"/>
              <w:bottom w:val="nil"/>
              <w:right w:val="nil"/>
            </w:tcBorders>
            <w:noWrap/>
            <w:vAlign w:val="center"/>
            <w:hideMark/>
          </w:tcPr>
          <w:p w14:paraId="687E7A62"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1.02 </w:t>
            </w:r>
          </w:p>
        </w:tc>
        <w:tc>
          <w:tcPr>
            <w:tcW w:w="2000" w:type="dxa"/>
            <w:tcBorders>
              <w:top w:val="nil"/>
              <w:left w:val="nil"/>
              <w:bottom w:val="nil"/>
              <w:right w:val="nil"/>
            </w:tcBorders>
            <w:noWrap/>
            <w:vAlign w:val="center"/>
            <w:hideMark/>
          </w:tcPr>
          <w:p w14:paraId="5729FC2F"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1.00 </w:t>
            </w:r>
          </w:p>
        </w:tc>
        <w:tc>
          <w:tcPr>
            <w:tcW w:w="1840" w:type="dxa"/>
            <w:tcBorders>
              <w:top w:val="nil"/>
              <w:left w:val="nil"/>
              <w:bottom w:val="nil"/>
              <w:right w:val="nil"/>
            </w:tcBorders>
            <w:noWrap/>
            <w:vAlign w:val="center"/>
            <w:hideMark/>
          </w:tcPr>
          <w:p w14:paraId="00BC7736"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1.00 </w:t>
            </w:r>
          </w:p>
        </w:tc>
        <w:tc>
          <w:tcPr>
            <w:tcW w:w="1560" w:type="dxa"/>
            <w:tcBorders>
              <w:top w:val="nil"/>
              <w:left w:val="nil"/>
              <w:bottom w:val="nil"/>
              <w:right w:val="nil"/>
            </w:tcBorders>
            <w:noWrap/>
            <w:vAlign w:val="center"/>
            <w:hideMark/>
          </w:tcPr>
          <w:p w14:paraId="593607D1"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1.00 </w:t>
            </w:r>
          </w:p>
        </w:tc>
        <w:tc>
          <w:tcPr>
            <w:tcW w:w="1300" w:type="dxa"/>
            <w:tcBorders>
              <w:top w:val="nil"/>
              <w:left w:val="nil"/>
              <w:bottom w:val="nil"/>
              <w:right w:val="nil"/>
            </w:tcBorders>
            <w:noWrap/>
            <w:vAlign w:val="center"/>
            <w:hideMark/>
          </w:tcPr>
          <w:p w14:paraId="08D6B56C"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1.00 </w:t>
            </w:r>
          </w:p>
        </w:tc>
        <w:tc>
          <w:tcPr>
            <w:tcW w:w="1520" w:type="dxa"/>
            <w:tcBorders>
              <w:top w:val="nil"/>
              <w:left w:val="nil"/>
              <w:bottom w:val="nil"/>
              <w:right w:val="nil"/>
            </w:tcBorders>
            <w:noWrap/>
            <w:vAlign w:val="center"/>
            <w:hideMark/>
          </w:tcPr>
          <w:p w14:paraId="2FFA9CAB"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1.02 </w:t>
            </w:r>
          </w:p>
        </w:tc>
      </w:tr>
      <w:tr w:rsidR="00732205" w:rsidRPr="00732205" w14:paraId="5D0B83E8" w14:textId="77777777" w:rsidTr="00732205">
        <w:trPr>
          <w:trHeight w:val="320"/>
          <w:jc w:val="center"/>
        </w:trPr>
        <w:tc>
          <w:tcPr>
            <w:tcW w:w="2080" w:type="dxa"/>
            <w:tcBorders>
              <w:top w:val="nil"/>
              <w:left w:val="nil"/>
              <w:bottom w:val="nil"/>
              <w:right w:val="nil"/>
            </w:tcBorders>
            <w:noWrap/>
            <w:vAlign w:val="center"/>
            <w:hideMark/>
          </w:tcPr>
          <w:p w14:paraId="416B930D" w14:textId="77777777" w:rsidR="00732205" w:rsidRPr="00732205" w:rsidRDefault="00732205" w:rsidP="00732205">
            <w:pPr>
              <w:widowControl/>
              <w:spacing w:after="0" w:line="240" w:lineRule="auto"/>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theta_L2_ess_bulk</w:t>
            </w:r>
          </w:p>
        </w:tc>
        <w:tc>
          <w:tcPr>
            <w:tcW w:w="1300" w:type="dxa"/>
            <w:tcBorders>
              <w:top w:val="nil"/>
              <w:left w:val="nil"/>
              <w:bottom w:val="nil"/>
              <w:right w:val="nil"/>
            </w:tcBorders>
            <w:noWrap/>
            <w:vAlign w:val="center"/>
            <w:hideMark/>
          </w:tcPr>
          <w:p w14:paraId="56F52B18"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429.67 </w:t>
            </w:r>
          </w:p>
        </w:tc>
        <w:tc>
          <w:tcPr>
            <w:tcW w:w="1440" w:type="dxa"/>
            <w:tcBorders>
              <w:top w:val="nil"/>
              <w:left w:val="nil"/>
              <w:bottom w:val="nil"/>
              <w:right w:val="nil"/>
            </w:tcBorders>
            <w:noWrap/>
            <w:vAlign w:val="center"/>
            <w:hideMark/>
          </w:tcPr>
          <w:p w14:paraId="16831B9A"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184.03 </w:t>
            </w:r>
          </w:p>
        </w:tc>
        <w:tc>
          <w:tcPr>
            <w:tcW w:w="2000" w:type="dxa"/>
            <w:tcBorders>
              <w:top w:val="nil"/>
              <w:left w:val="nil"/>
              <w:bottom w:val="nil"/>
              <w:right w:val="nil"/>
            </w:tcBorders>
            <w:noWrap/>
            <w:vAlign w:val="center"/>
            <w:hideMark/>
          </w:tcPr>
          <w:p w14:paraId="3EC69B4B"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1194.55 </w:t>
            </w:r>
          </w:p>
        </w:tc>
        <w:tc>
          <w:tcPr>
            <w:tcW w:w="1840" w:type="dxa"/>
            <w:tcBorders>
              <w:top w:val="nil"/>
              <w:left w:val="nil"/>
              <w:bottom w:val="nil"/>
              <w:right w:val="nil"/>
            </w:tcBorders>
            <w:noWrap/>
            <w:vAlign w:val="center"/>
            <w:hideMark/>
          </w:tcPr>
          <w:p w14:paraId="64405680"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1680.87 </w:t>
            </w:r>
          </w:p>
        </w:tc>
        <w:tc>
          <w:tcPr>
            <w:tcW w:w="1560" w:type="dxa"/>
            <w:tcBorders>
              <w:top w:val="nil"/>
              <w:left w:val="nil"/>
              <w:bottom w:val="nil"/>
              <w:right w:val="nil"/>
            </w:tcBorders>
            <w:noWrap/>
            <w:vAlign w:val="center"/>
            <w:hideMark/>
          </w:tcPr>
          <w:p w14:paraId="13434691"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1478.65 </w:t>
            </w:r>
          </w:p>
        </w:tc>
        <w:tc>
          <w:tcPr>
            <w:tcW w:w="1300" w:type="dxa"/>
            <w:tcBorders>
              <w:top w:val="nil"/>
              <w:left w:val="nil"/>
              <w:bottom w:val="nil"/>
              <w:right w:val="nil"/>
            </w:tcBorders>
            <w:noWrap/>
            <w:vAlign w:val="center"/>
            <w:hideMark/>
          </w:tcPr>
          <w:p w14:paraId="16F6E8E4"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1056.59 </w:t>
            </w:r>
          </w:p>
        </w:tc>
        <w:tc>
          <w:tcPr>
            <w:tcW w:w="1520" w:type="dxa"/>
            <w:tcBorders>
              <w:top w:val="nil"/>
              <w:left w:val="nil"/>
              <w:bottom w:val="nil"/>
              <w:right w:val="nil"/>
            </w:tcBorders>
            <w:noWrap/>
            <w:vAlign w:val="center"/>
            <w:hideMark/>
          </w:tcPr>
          <w:p w14:paraId="19513FDB"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345.69 </w:t>
            </w:r>
          </w:p>
        </w:tc>
      </w:tr>
      <w:tr w:rsidR="00732205" w:rsidRPr="00732205" w14:paraId="7DFD99EB" w14:textId="77777777" w:rsidTr="00732205">
        <w:trPr>
          <w:trHeight w:val="320"/>
          <w:jc w:val="center"/>
        </w:trPr>
        <w:tc>
          <w:tcPr>
            <w:tcW w:w="2080" w:type="dxa"/>
            <w:tcBorders>
              <w:top w:val="nil"/>
              <w:left w:val="nil"/>
              <w:bottom w:val="single" w:sz="4" w:space="0" w:color="auto"/>
              <w:right w:val="nil"/>
            </w:tcBorders>
            <w:noWrap/>
            <w:vAlign w:val="center"/>
            <w:hideMark/>
          </w:tcPr>
          <w:p w14:paraId="1DD042D6" w14:textId="77777777" w:rsidR="00732205" w:rsidRPr="00732205" w:rsidRDefault="00732205" w:rsidP="00732205">
            <w:pPr>
              <w:widowControl/>
              <w:spacing w:after="0" w:line="240" w:lineRule="auto"/>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theta_L2_ess_tail</w:t>
            </w:r>
          </w:p>
        </w:tc>
        <w:tc>
          <w:tcPr>
            <w:tcW w:w="1300" w:type="dxa"/>
            <w:tcBorders>
              <w:top w:val="nil"/>
              <w:left w:val="nil"/>
              <w:bottom w:val="single" w:sz="4" w:space="0" w:color="auto"/>
              <w:right w:val="nil"/>
            </w:tcBorders>
            <w:noWrap/>
            <w:vAlign w:val="center"/>
            <w:hideMark/>
          </w:tcPr>
          <w:p w14:paraId="59A0C044"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919.10 </w:t>
            </w:r>
          </w:p>
        </w:tc>
        <w:tc>
          <w:tcPr>
            <w:tcW w:w="1440" w:type="dxa"/>
            <w:tcBorders>
              <w:top w:val="nil"/>
              <w:left w:val="nil"/>
              <w:bottom w:val="single" w:sz="4" w:space="0" w:color="auto"/>
              <w:right w:val="nil"/>
            </w:tcBorders>
            <w:noWrap/>
            <w:vAlign w:val="center"/>
            <w:hideMark/>
          </w:tcPr>
          <w:p w14:paraId="06FCD735"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329.57 </w:t>
            </w:r>
          </w:p>
        </w:tc>
        <w:tc>
          <w:tcPr>
            <w:tcW w:w="2000" w:type="dxa"/>
            <w:tcBorders>
              <w:top w:val="nil"/>
              <w:left w:val="nil"/>
              <w:bottom w:val="single" w:sz="4" w:space="0" w:color="auto"/>
              <w:right w:val="nil"/>
            </w:tcBorders>
            <w:noWrap/>
            <w:vAlign w:val="center"/>
            <w:hideMark/>
          </w:tcPr>
          <w:p w14:paraId="2CD8D250"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1648.52 </w:t>
            </w:r>
          </w:p>
        </w:tc>
        <w:tc>
          <w:tcPr>
            <w:tcW w:w="1840" w:type="dxa"/>
            <w:tcBorders>
              <w:top w:val="nil"/>
              <w:left w:val="nil"/>
              <w:bottom w:val="single" w:sz="4" w:space="0" w:color="auto"/>
              <w:right w:val="nil"/>
            </w:tcBorders>
            <w:noWrap/>
            <w:vAlign w:val="center"/>
            <w:hideMark/>
          </w:tcPr>
          <w:p w14:paraId="15091A89"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2483.47 </w:t>
            </w:r>
          </w:p>
        </w:tc>
        <w:tc>
          <w:tcPr>
            <w:tcW w:w="1560" w:type="dxa"/>
            <w:tcBorders>
              <w:top w:val="nil"/>
              <w:left w:val="nil"/>
              <w:bottom w:val="single" w:sz="4" w:space="0" w:color="auto"/>
              <w:right w:val="nil"/>
            </w:tcBorders>
            <w:noWrap/>
            <w:vAlign w:val="center"/>
            <w:hideMark/>
          </w:tcPr>
          <w:p w14:paraId="194BBA96"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2438.58 </w:t>
            </w:r>
          </w:p>
        </w:tc>
        <w:tc>
          <w:tcPr>
            <w:tcW w:w="1300" w:type="dxa"/>
            <w:tcBorders>
              <w:top w:val="nil"/>
              <w:left w:val="nil"/>
              <w:bottom w:val="single" w:sz="4" w:space="0" w:color="auto"/>
              <w:right w:val="nil"/>
            </w:tcBorders>
            <w:noWrap/>
            <w:vAlign w:val="center"/>
            <w:hideMark/>
          </w:tcPr>
          <w:p w14:paraId="0941C48B"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1176.66 </w:t>
            </w:r>
          </w:p>
        </w:tc>
        <w:tc>
          <w:tcPr>
            <w:tcW w:w="1520" w:type="dxa"/>
            <w:tcBorders>
              <w:top w:val="nil"/>
              <w:left w:val="nil"/>
              <w:bottom w:val="single" w:sz="4" w:space="0" w:color="auto"/>
              <w:right w:val="nil"/>
            </w:tcBorders>
            <w:noWrap/>
            <w:vAlign w:val="center"/>
            <w:hideMark/>
          </w:tcPr>
          <w:p w14:paraId="3B1DB6E1" w14:textId="77777777" w:rsidR="00732205" w:rsidRPr="00732205" w:rsidRDefault="00732205" w:rsidP="00732205">
            <w:pPr>
              <w:widowControl/>
              <w:spacing w:after="0" w:line="240" w:lineRule="auto"/>
              <w:jc w:val="right"/>
              <w:rPr>
                <w:rFonts w:ascii="TimesNewRomanPSMT" w:eastAsia="ＭＳ Ｐゴシック" w:hAnsi="TimesNewRomanPSMT" w:cs="ＭＳ Ｐゴシック" w:hint="eastAsia"/>
                <w:color w:val="000000"/>
                <w:kern w:val="0"/>
                <w:sz w:val="24"/>
                <w14:ligatures w14:val="none"/>
              </w:rPr>
            </w:pPr>
            <w:r w:rsidRPr="00732205">
              <w:rPr>
                <w:rFonts w:ascii="TimesNewRomanPSMT" w:eastAsia="ＭＳ Ｐゴシック" w:hAnsi="TimesNewRomanPSMT" w:cs="ＭＳ Ｐゴシック"/>
                <w:color w:val="000000"/>
                <w:kern w:val="0"/>
                <w:sz w:val="24"/>
                <w14:ligatures w14:val="none"/>
              </w:rPr>
              <w:t xml:space="preserve">725.95 </w:t>
            </w:r>
          </w:p>
        </w:tc>
      </w:tr>
    </w:tbl>
    <w:p w14:paraId="526D10E1" w14:textId="77777777" w:rsidR="00AF46C0" w:rsidRDefault="00AF46C0" w:rsidP="00EF063D">
      <w:pPr>
        <w:spacing w:line="480" w:lineRule="auto"/>
        <w:rPr>
          <w:rFonts w:ascii="Times New Roman" w:hAnsi="Times New Roman" w:cs="Times New Roman"/>
          <w:sz w:val="24"/>
        </w:rPr>
      </w:pPr>
    </w:p>
    <w:p w14:paraId="3501DC36" w14:textId="77777777" w:rsidR="00A50026" w:rsidRPr="00A50026" w:rsidRDefault="00A50026" w:rsidP="00B4568B">
      <w:pPr>
        <w:spacing w:line="240" w:lineRule="auto"/>
        <w:rPr>
          <w:rFonts w:ascii="Times New Roman" w:hAnsi="Times New Roman" w:cs="Times New Roman"/>
          <w:sz w:val="24"/>
        </w:rPr>
      </w:pPr>
      <w:r w:rsidRPr="00A50026">
        <w:rPr>
          <w:rFonts w:ascii="Times New Roman" w:hAnsi="Times New Roman" w:cs="Times New Roman"/>
          <w:sz w:val="24"/>
        </w:rPr>
        <w:t>Mean = posterior mean; SD = posterior standard deviation.</w:t>
      </w:r>
    </w:p>
    <w:p w14:paraId="2369D717" w14:textId="77777777" w:rsidR="00A50026" w:rsidRPr="00A50026" w:rsidRDefault="00A50026" w:rsidP="00B4568B">
      <w:pPr>
        <w:spacing w:line="240" w:lineRule="auto"/>
        <w:rPr>
          <w:rFonts w:ascii="Times New Roman" w:hAnsi="Times New Roman" w:cs="Times New Roman"/>
          <w:sz w:val="24"/>
        </w:rPr>
      </w:pPr>
      <w:r w:rsidRPr="00A50026">
        <w:rPr>
          <w:rFonts w:ascii="Times New Roman" w:hAnsi="Times New Roman" w:cs="Times New Roman"/>
          <w:sz w:val="24"/>
        </w:rPr>
        <w:t>p2.5 and p97.5 are the lower and upper bounds of the 95 % highest-density interval (HDI).</w:t>
      </w:r>
    </w:p>
    <w:p w14:paraId="2E6D4E2B" w14:textId="77777777" w:rsidR="00A50026" w:rsidRPr="00A50026" w:rsidRDefault="00A50026" w:rsidP="00B4568B">
      <w:pPr>
        <w:spacing w:line="240" w:lineRule="auto"/>
        <w:rPr>
          <w:rFonts w:ascii="Times New Roman" w:hAnsi="Times New Roman" w:cs="Times New Roman"/>
          <w:sz w:val="24"/>
        </w:rPr>
      </w:pPr>
      <w:r w:rsidRPr="00A50026">
        <w:rPr>
          <w:rFonts w:ascii="Times New Roman" w:hAnsi="Times New Roman" w:cs="Times New Roman"/>
          <w:sz w:val="24"/>
        </w:rPr>
        <w:t>r̂ is the Gelman–Rubin convergence diagnostic (values ≈ 1.00 indicate convergence).</w:t>
      </w:r>
    </w:p>
    <w:p w14:paraId="325CA608" w14:textId="77777777" w:rsidR="00A50026" w:rsidRPr="00A50026" w:rsidRDefault="00A50026" w:rsidP="00B4568B">
      <w:pPr>
        <w:spacing w:line="240" w:lineRule="auto"/>
        <w:rPr>
          <w:rFonts w:ascii="Times New Roman" w:hAnsi="Times New Roman" w:cs="Times New Roman"/>
          <w:sz w:val="24"/>
        </w:rPr>
      </w:pPr>
      <w:proofErr w:type="spellStart"/>
      <w:r w:rsidRPr="00A50026">
        <w:rPr>
          <w:rFonts w:ascii="Times New Roman" w:hAnsi="Times New Roman" w:cs="Times New Roman"/>
          <w:sz w:val="24"/>
        </w:rPr>
        <w:t>ess_bulk</w:t>
      </w:r>
      <w:proofErr w:type="spellEnd"/>
      <w:r w:rsidRPr="00A50026">
        <w:rPr>
          <w:rFonts w:ascii="Times New Roman" w:hAnsi="Times New Roman" w:cs="Times New Roman"/>
          <w:sz w:val="24"/>
        </w:rPr>
        <w:t xml:space="preserve"> and </w:t>
      </w:r>
      <w:proofErr w:type="spellStart"/>
      <w:r w:rsidRPr="00A50026">
        <w:rPr>
          <w:rFonts w:ascii="Times New Roman" w:hAnsi="Times New Roman" w:cs="Times New Roman"/>
          <w:sz w:val="24"/>
        </w:rPr>
        <w:t>ess_tail</w:t>
      </w:r>
      <w:proofErr w:type="spellEnd"/>
      <w:r w:rsidRPr="00A50026">
        <w:rPr>
          <w:rFonts w:ascii="Times New Roman" w:hAnsi="Times New Roman" w:cs="Times New Roman"/>
          <w:sz w:val="24"/>
        </w:rPr>
        <w:t xml:space="preserve"> are the bulk and tail effective sample sizes, respectively.</w:t>
      </w:r>
    </w:p>
    <w:p w14:paraId="275A55A7" w14:textId="77777777" w:rsidR="00A50026" w:rsidRPr="00A50026" w:rsidRDefault="00A50026" w:rsidP="00B4568B">
      <w:pPr>
        <w:spacing w:line="240" w:lineRule="auto"/>
        <w:rPr>
          <w:rFonts w:ascii="Times New Roman" w:hAnsi="Times New Roman" w:cs="Times New Roman"/>
          <w:sz w:val="24"/>
        </w:rPr>
      </w:pPr>
      <w:r w:rsidRPr="00A50026">
        <w:rPr>
          <w:rFonts w:ascii="Times New Roman" w:hAnsi="Times New Roman" w:cs="Times New Roman"/>
          <w:sz w:val="24"/>
        </w:rPr>
        <w:t xml:space="preserve">Rows labeled </w:t>
      </w:r>
      <w:proofErr w:type="spellStart"/>
      <w:r w:rsidRPr="00A50026">
        <w:rPr>
          <w:rFonts w:ascii="Times New Roman" w:hAnsi="Times New Roman" w:cs="Times New Roman"/>
          <w:sz w:val="24"/>
        </w:rPr>
        <w:t>alpha_region</w:t>
      </w:r>
      <w:proofErr w:type="spellEnd"/>
      <w:r w:rsidRPr="00A50026">
        <w:rPr>
          <w:rFonts w:ascii="Times New Roman" w:hAnsi="Times New Roman" w:cs="Times New Roman"/>
          <w:sz w:val="24"/>
        </w:rPr>
        <w:t xml:space="preserve">, </w:t>
      </w:r>
      <w:proofErr w:type="spellStart"/>
      <w:r w:rsidRPr="00A50026">
        <w:rPr>
          <w:rFonts w:ascii="Times New Roman" w:hAnsi="Times New Roman" w:cs="Times New Roman"/>
          <w:sz w:val="24"/>
        </w:rPr>
        <w:t>beta_region</w:t>
      </w:r>
      <w:proofErr w:type="spellEnd"/>
      <w:r w:rsidRPr="00A50026">
        <w:rPr>
          <w:rFonts w:ascii="Times New Roman" w:hAnsi="Times New Roman" w:cs="Times New Roman"/>
          <w:sz w:val="24"/>
        </w:rPr>
        <w:t xml:space="preserve">, and </w:t>
      </w:r>
      <w:proofErr w:type="spellStart"/>
      <w:r w:rsidRPr="00A50026">
        <w:rPr>
          <w:rFonts w:ascii="Times New Roman" w:hAnsi="Times New Roman" w:cs="Times New Roman"/>
          <w:sz w:val="24"/>
        </w:rPr>
        <w:t>gamma_region</w:t>
      </w:r>
      <w:proofErr w:type="spellEnd"/>
      <w:r w:rsidRPr="00A50026">
        <w:rPr>
          <w:rFonts w:ascii="Times New Roman" w:hAnsi="Times New Roman" w:cs="Times New Roman"/>
          <w:sz w:val="24"/>
        </w:rPr>
        <w:t xml:space="preserve"> report region-specific population–GDP coefficients; sigma is the </w:t>
      </w:r>
      <w:proofErr w:type="gramStart"/>
      <w:r w:rsidRPr="00A50026">
        <w:rPr>
          <w:rFonts w:ascii="Times New Roman" w:hAnsi="Times New Roman" w:cs="Times New Roman"/>
          <w:sz w:val="24"/>
        </w:rPr>
        <w:t>Student</w:t>
      </w:r>
      <w:proofErr w:type="gramEnd"/>
      <w:r w:rsidRPr="00A50026">
        <w:rPr>
          <w:rFonts w:ascii="Times New Roman" w:hAnsi="Times New Roman" w:cs="Times New Roman"/>
          <w:sz w:val="24"/>
        </w:rPr>
        <w:t>-t scale.</w:t>
      </w:r>
    </w:p>
    <w:p w14:paraId="34ABC18B" w14:textId="77777777" w:rsidR="00A50026" w:rsidRDefault="00A50026" w:rsidP="00B4568B">
      <w:pPr>
        <w:spacing w:line="240" w:lineRule="auto"/>
        <w:rPr>
          <w:rFonts w:ascii="Times New Roman" w:hAnsi="Times New Roman" w:cs="Times New Roman"/>
          <w:sz w:val="24"/>
        </w:rPr>
        <w:sectPr w:rsidR="00A50026" w:rsidSect="00AF46C0">
          <w:pgSz w:w="16838" w:h="11906" w:orient="landscape"/>
          <w:pgMar w:top="1701" w:right="1701" w:bottom="1701" w:left="1985" w:header="851" w:footer="992" w:gutter="0"/>
          <w:cols w:space="425"/>
          <w:docGrid w:type="lines" w:linePitch="360"/>
        </w:sectPr>
      </w:pPr>
      <w:r w:rsidRPr="00A50026">
        <w:rPr>
          <w:rFonts w:ascii="Times New Roman" w:hAnsi="Times New Roman" w:cs="Times New Roman"/>
          <w:sz w:val="24"/>
        </w:rPr>
        <w:t>The final three rows (</w:t>
      </w:r>
      <w:proofErr w:type="spellStart"/>
      <w:r w:rsidRPr="00A50026">
        <w:rPr>
          <w:rFonts w:ascii="Times New Roman" w:hAnsi="Times New Roman" w:cs="Times New Roman"/>
          <w:sz w:val="24"/>
        </w:rPr>
        <w:t>alpha_country</w:t>
      </w:r>
      <w:proofErr w:type="spellEnd"/>
      <w:r w:rsidRPr="00A50026">
        <w:rPr>
          <w:rFonts w:ascii="Times New Roman" w:hAnsi="Times New Roman" w:cs="Times New Roman"/>
          <w:sz w:val="24"/>
        </w:rPr>
        <w:t xml:space="preserve"> (all), </w:t>
      </w:r>
      <w:proofErr w:type="spellStart"/>
      <w:r w:rsidRPr="00A50026">
        <w:rPr>
          <w:rFonts w:ascii="Times New Roman" w:hAnsi="Times New Roman" w:cs="Times New Roman"/>
          <w:sz w:val="24"/>
        </w:rPr>
        <w:t>beta_country</w:t>
      </w:r>
      <w:proofErr w:type="spellEnd"/>
      <w:r w:rsidRPr="00A50026">
        <w:rPr>
          <w:rFonts w:ascii="Times New Roman" w:hAnsi="Times New Roman" w:cs="Times New Roman"/>
          <w:sz w:val="24"/>
        </w:rPr>
        <w:t xml:space="preserve"> (all), </w:t>
      </w:r>
      <w:proofErr w:type="spellStart"/>
      <w:r w:rsidRPr="00A50026">
        <w:rPr>
          <w:rFonts w:ascii="Times New Roman" w:hAnsi="Times New Roman" w:cs="Times New Roman"/>
          <w:sz w:val="24"/>
        </w:rPr>
        <w:t>gamma_country</w:t>
      </w:r>
      <w:proofErr w:type="spellEnd"/>
      <w:r w:rsidRPr="00A50026">
        <w:rPr>
          <w:rFonts w:ascii="Times New Roman" w:hAnsi="Times New Roman" w:cs="Times New Roman"/>
          <w:sz w:val="24"/>
        </w:rPr>
        <w:t xml:space="preserve"> (all)) give distribution summaries for the 180 country-level effects; sampler diagnostics are not applicable to these aggregated rows.</w:t>
      </w:r>
    </w:p>
    <w:p w14:paraId="0130BBB0" w14:textId="4B9AC490" w:rsidR="00A50026" w:rsidRDefault="00A50026" w:rsidP="00A50026">
      <w:pPr>
        <w:spacing w:line="240" w:lineRule="auto"/>
        <w:rPr>
          <w:rFonts w:ascii="Times New Roman" w:hAnsi="Times New Roman" w:cs="Times New Roman"/>
          <w:sz w:val="24"/>
        </w:rPr>
        <w:sectPr w:rsidR="00A50026" w:rsidSect="00A50026">
          <w:pgSz w:w="11906" w:h="16838"/>
          <w:pgMar w:top="1985" w:right="1701" w:bottom="1701" w:left="1701" w:header="851" w:footer="992" w:gutter="0"/>
          <w:cols w:space="425"/>
          <w:docGrid w:type="lines" w:linePitch="360"/>
        </w:sectPr>
      </w:pPr>
      <w:r>
        <w:rPr>
          <w:rFonts w:ascii="Times New Roman" w:hAnsi="Times New Roman" w:cs="Times New Roman"/>
          <w:sz w:val="24"/>
        </w:rPr>
        <w:lastRenderedPageBreak/>
        <w:t xml:space="preserve">Table 2. </w:t>
      </w:r>
    </w:p>
    <w:p w14:paraId="20CC7896" w14:textId="441BBBC3" w:rsidR="00A50026" w:rsidRDefault="00A50026" w:rsidP="00A50026">
      <w:pPr>
        <w:spacing w:line="240" w:lineRule="auto"/>
        <w:rPr>
          <w:rFonts w:ascii="Times New Roman" w:hAnsi="Times New Roman" w:cs="Times New Roman"/>
          <w:sz w:val="24"/>
        </w:rPr>
      </w:pPr>
      <w:r w:rsidRPr="00A50026">
        <w:rPr>
          <w:rFonts w:ascii="Times New Roman" w:hAnsi="Times New Roman" w:cs="Times New Roman"/>
          <w:b/>
          <w:bCs/>
          <w:sz w:val="24"/>
        </w:rPr>
        <w:lastRenderedPageBreak/>
        <w:t>Figure 1.</w:t>
      </w:r>
      <w:r>
        <w:rPr>
          <w:rFonts w:ascii="Times New Roman" w:hAnsi="Times New Roman" w:cs="Times New Roman"/>
          <w:sz w:val="24"/>
        </w:rPr>
        <w:t xml:space="preserve"> </w:t>
      </w:r>
      <w:r w:rsidRPr="00A50026">
        <w:rPr>
          <w:rFonts w:ascii="Times New Roman" w:hAnsi="Times New Roman" w:cs="Times New Roman"/>
          <w:sz w:val="24"/>
        </w:rPr>
        <w:t>Global association between population size and economic output, 1960 – 2023</w:t>
      </w:r>
    </w:p>
    <w:p w14:paraId="10C15158" w14:textId="316C04C1" w:rsidR="00A50026" w:rsidRDefault="00CC4977" w:rsidP="00CC4977">
      <w:pPr>
        <w:spacing w:line="240" w:lineRule="auto"/>
        <w:jc w:val="center"/>
        <w:rPr>
          <w:rFonts w:ascii="Times New Roman" w:hAnsi="Times New Roman" w:cs="Times New Roman"/>
          <w:sz w:val="24"/>
        </w:rPr>
      </w:pPr>
      <w:r>
        <w:rPr>
          <w:rFonts w:ascii="Times New Roman" w:hAnsi="Times New Roman" w:cs="Times New Roman"/>
          <w:noProof/>
          <w:sz w:val="24"/>
        </w:rPr>
        <w:drawing>
          <wp:inline distT="0" distB="0" distL="0" distR="0" wp14:anchorId="17FF3203" wp14:editId="4A0AD29D">
            <wp:extent cx="5400040" cy="3599815"/>
            <wp:effectExtent l="0" t="0" r="0" b="0"/>
            <wp:docPr id="848133787" name="図 1" descr="グラフ, 散布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33787" name="図 1" descr="グラフ, 散布図&#10;&#10;AI 生成コンテンツは誤りを含む可能性があります。"/>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14:paraId="591F6DAA" w14:textId="77777777" w:rsidR="00A50026" w:rsidRPr="00A50026" w:rsidRDefault="00A50026" w:rsidP="00A50026">
      <w:pPr>
        <w:spacing w:line="240" w:lineRule="auto"/>
        <w:rPr>
          <w:rFonts w:ascii="Times New Roman" w:hAnsi="Times New Roman" w:cs="Times New Roman"/>
          <w:sz w:val="24"/>
        </w:rPr>
      </w:pPr>
      <w:r w:rsidRPr="00A50026">
        <w:rPr>
          <w:rFonts w:ascii="Times New Roman" w:hAnsi="Times New Roman" w:cs="Times New Roman"/>
          <w:sz w:val="24"/>
        </w:rPr>
        <w:t>Each gray point is one country–year (n = 10 390; log-transformed units).</w:t>
      </w:r>
    </w:p>
    <w:p w14:paraId="25BEF6B7" w14:textId="77777777" w:rsidR="00A50026" w:rsidRPr="00A50026" w:rsidRDefault="00A50026" w:rsidP="00A50026">
      <w:pPr>
        <w:spacing w:line="240" w:lineRule="auto"/>
        <w:rPr>
          <w:rFonts w:ascii="Times New Roman" w:hAnsi="Times New Roman" w:cs="Times New Roman"/>
          <w:sz w:val="24"/>
        </w:rPr>
      </w:pPr>
      <w:r w:rsidRPr="00A50026">
        <w:rPr>
          <w:rFonts w:ascii="Times New Roman" w:hAnsi="Times New Roman" w:cs="Times New Roman"/>
          <w:sz w:val="24"/>
        </w:rPr>
        <w:t>The solid black line is the posterior median of the hierarchical Bayesian model; the shaded band is the 95 % highest-density interval.</w:t>
      </w:r>
    </w:p>
    <w:p w14:paraId="43C9FD79" w14:textId="77777777" w:rsidR="00B4568B" w:rsidRDefault="00A50026" w:rsidP="00A50026">
      <w:pPr>
        <w:spacing w:line="240" w:lineRule="auto"/>
        <w:rPr>
          <w:rFonts w:ascii="Times New Roman" w:hAnsi="Times New Roman" w:cs="Times New Roman"/>
          <w:sz w:val="24"/>
        </w:rPr>
      </w:pPr>
      <w:r w:rsidRPr="00A50026">
        <w:rPr>
          <w:rFonts w:ascii="Times New Roman" w:hAnsi="Times New Roman" w:cs="Times New Roman"/>
          <w:sz w:val="24"/>
        </w:rPr>
        <w:t>Population is centered on the 1960 – 2023 global mean (µₚ = 7.04).</w:t>
      </w:r>
    </w:p>
    <w:p w14:paraId="2718ADF7" w14:textId="2E3BB636" w:rsidR="00A50026" w:rsidRDefault="00A50026" w:rsidP="00A50026">
      <w:pPr>
        <w:spacing w:line="240" w:lineRule="auto"/>
        <w:rPr>
          <w:rFonts w:ascii="Times New Roman" w:hAnsi="Times New Roman" w:cs="Times New Roman"/>
          <w:sz w:val="24"/>
        </w:rPr>
        <w:sectPr w:rsidR="00A50026" w:rsidSect="00A50026">
          <w:pgSz w:w="11906" w:h="16838"/>
          <w:pgMar w:top="1985" w:right="1701" w:bottom="1701" w:left="1701" w:header="851" w:footer="992" w:gutter="0"/>
          <w:cols w:space="425"/>
          <w:docGrid w:type="lines" w:linePitch="360"/>
        </w:sectPr>
      </w:pPr>
      <w:r w:rsidRPr="00A50026">
        <w:rPr>
          <w:rFonts w:ascii="Times New Roman" w:hAnsi="Times New Roman" w:cs="Times New Roman"/>
          <w:sz w:val="24"/>
        </w:rPr>
        <w:t>The upward-sloping but slightly concave curve indicates a positive, diminishing-returns association between log-population and log-GDP after accounting for region- and country-level random effects.</w:t>
      </w:r>
    </w:p>
    <w:p w14:paraId="5327658F" w14:textId="77777777" w:rsidR="00A50026" w:rsidRDefault="00A50026" w:rsidP="00A50026">
      <w:pPr>
        <w:spacing w:line="240" w:lineRule="auto"/>
        <w:rPr>
          <w:rFonts w:ascii="Times New Roman" w:hAnsi="Times New Roman" w:cs="Times New Roman"/>
          <w:sz w:val="24"/>
        </w:rPr>
      </w:pPr>
      <w:r w:rsidRPr="00A50026">
        <w:rPr>
          <w:rFonts w:ascii="Times New Roman" w:hAnsi="Times New Roman" w:cs="Times New Roman"/>
          <w:b/>
          <w:bCs/>
          <w:sz w:val="24"/>
        </w:rPr>
        <w:lastRenderedPageBreak/>
        <w:t>Figure 2.</w:t>
      </w:r>
      <w:r>
        <w:rPr>
          <w:rFonts w:ascii="Times New Roman" w:hAnsi="Times New Roman" w:cs="Times New Roman"/>
          <w:sz w:val="24"/>
        </w:rPr>
        <w:t xml:space="preserve"> </w:t>
      </w:r>
      <w:r w:rsidRPr="00A50026">
        <w:rPr>
          <w:rFonts w:ascii="Times New Roman" w:hAnsi="Times New Roman" w:cs="Times New Roman"/>
          <w:sz w:val="24"/>
        </w:rPr>
        <w:t>Global GDP fan chart under eight UN demographic variants, 2025 – 2100</w:t>
      </w:r>
    </w:p>
    <w:p w14:paraId="31D60C07" w14:textId="64083C81" w:rsidR="00A50026" w:rsidRDefault="00CC4977" w:rsidP="0080407C">
      <w:pPr>
        <w:spacing w:line="240" w:lineRule="auto"/>
        <w:jc w:val="center"/>
        <w:rPr>
          <w:rFonts w:ascii="Times New Roman" w:hAnsi="Times New Roman" w:cs="Times New Roman"/>
          <w:sz w:val="24"/>
        </w:rPr>
      </w:pPr>
      <w:r>
        <w:rPr>
          <w:rFonts w:ascii="Times New Roman" w:hAnsi="Times New Roman" w:cs="Times New Roman"/>
          <w:noProof/>
          <w:sz w:val="24"/>
        </w:rPr>
        <w:drawing>
          <wp:inline distT="0" distB="0" distL="0" distR="0" wp14:anchorId="2B0613E1" wp14:editId="1672B808">
            <wp:extent cx="5400040" cy="3599815"/>
            <wp:effectExtent l="0" t="0" r="0" b="0"/>
            <wp:docPr id="1251088085" name="図 2"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88085" name="図 2" descr="グラフ&#10;&#10;AI 生成コンテンツは誤りを含む可能性があります。"/>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14:paraId="471E3543" w14:textId="49D2F1CC" w:rsidR="00A50026" w:rsidRDefault="00CC4977" w:rsidP="00CC4977">
      <w:pPr>
        <w:spacing w:line="240" w:lineRule="auto"/>
        <w:rPr>
          <w:rFonts w:ascii="Times New Roman" w:hAnsi="Times New Roman" w:cs="Times New Roman"/>
          <w:sz w:val="24"/>
        </w:rPr>
      </w:pPr>
      <w:r w:rsidRPr="00CC4977">
        <w:rPr>
          <w:rFonts w:ascii="Times New Roman" w:hAnsi="Times New Roman" w:cs="Times New Roman"/>
          <w:sz w:val="24"/>
        </w:rPr>
        <w:t xml:space="preserve">Solid line denotes the pooled median across eight UN WPP-2024 population variants (High and Low excluded). Shaded bands show the 50%, 80%, and 95% highest-density intervals obtained by combining posterior draws with variant-specific population paths under a hierarchical RCS model with base-year anchoring and light long-horizon regularization (post-2085 taper and soft plausibility bounds). Values are reported in current-dollar trillions and summed across all countries. The median rises from </w:t>
      </w:r>
      <w:r w:rsidR="002D5366">
        <w:rPr>
          <w:rFonts w:ascii="Times New Roman" w:hAnsi="Times New Roman" w:cs="Times New Roman"/>
          <w:sz w:val="24"/>
        </w:rPr>
        <w:t xml:space="preserve">USD </w:t>
      </w:r>
      <w:r w:rsidRPr="00CC4977">
        <w:rPr>
          <w:rFonts w:ascii="Times New Roman" w:hAnsi="Times New Roman" w:cs="Times New Roman"/>
          <w:sz w:val="24"/>
        </w:rPr>
        <w:t>115</w:t>
      </w:r>
      <w:r w:rsidR="002D5366">
        <w:rPr>
          <w:rFonts w:ascii="Times New Roman" w:hAnsi="Times New Roman" w:cs="Times New Roman"/>
          <w:sz w:val="24"/>
        </w:rPr>
        <w:t xml:space="preserve"> trillion</w:t>
      </w:r>
      <w:r w:rsidRPr="00CC4977">
        <w:rPr>
          <w:rFonts w:ascii="Times New Roman" w:hAnsi="Times New Roman" w:cs="Times New Roman"/>
          <w:sz w:val="24"/>
        </w:rPr>
        <w:t xml:space="preserve"> in 2025 to </w:t>
      </w:r>
      <w:r w:rsidR="002D5366">
        <w:rPr>
          <w:rFonts w:ascii="Times New Roman" w:hAnsi="Times New Roman" w:cs="Times New Roman"/>
          <w:sz w:val="24"/>
        </w:rPr>
        <w:t xml:space="preserve">USD </w:t>
      </w:r>
      <w:r w:rsidRPr="00CC4977">
        <w:rPr>
          <w:rFonts w:ascii="Times New Roman" w:hAnsi="Times New Roman" w:cs="Times New Roman"/>
          <w:sz w:val="24"/>
        </w:rPr>
        <w:t>168</w:t>
      </w:r>
      <w:r w:rsidR="002D5366">
        <w:rPr>
          <w:rFonts w:ascii="Times New Roman" w:hAnsi="Times New Roman" w:cs="Times New Roman"/>
          <w:sz w:val="24"/>
        </w:rPr>
        <w:t xml:space="preserve"> trillion</w:t>
      </w:r>
      <w:r w:rsidRPr="00CC4977">
        <w:rPr>
          <w:rFonts w:ascii="Times New Roman" w:hAnsi="Times New Roman" w:cs="Times New Roman"/>
          <w:sz w:val="24"/>
        </w:rPr>
        <w:t xml:space="preserve"> in 2040, with uncertainty widening thereafter as demographic scenarios diverge.  </w:t>
      </w:r>
    </w:p>
    <w:sectPr w:rsidR="00A50026" w:rsidSect="00A5002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FDD60" w14:textId="77777777" w:rsidR="00CD01EA" w:rsidRDefault="00CD01EA" w:rsidP="00D47997">
      <w:pPr>
        <w:spacing w:after="0" w:line="240" w:lineRule="auto"/>
      </w:pPr>
      <w:r>
        <w:separator/>
      </w:r>
    </w:p>
  </w:endnote>
  <w:endnote w:type="continuationSeparator" w:id="0">
    <w:p w14:paraId="04DF83C7" w14:textId="77777777" w:rsidR="00CD01EA" w:rsidRDefault="00CD01EA" w:rsidP="00D479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TimesNewRomanPSMT">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1174153868"/>
      <w:docPartObj>
        <w:docPartGallery w:val="Page Numbers (Bottom of Page)"/>
        <w:docPartUnique/>
      </w:docPartObj>
    </w:sdtPr>
    <w:sdtContent>
      <w:p w14:paraId="368E3947" w14:textId="4A185840" w:rsidR="00D47997" w:rsidRDefault="00D47997" w:rsidP="00E007EB">
        <w:pPr>
          <w:pStyle w:val="ae"/>
          <w:framePr w:wrap="none" w:vAnchor="text" w:hAnchor="margin" w:xAlign="right" w:y="1"/>
          <w:rPr>
            <w:rStyle w:val="af0"/>
          </w:rPr>
        </w:pPr>
        <w:r>
          <w:rPr>
            <w:rStyle w:val="af0"/>
          </w:rPr>
          <w:fldChar w:fldCharType="begin"/>
        </w:r>
        <w:r>
          <w:rPr>
            <w:rStyle w:val="af0"/>
          </w:rPr>
          <w:instrText xml:space="preserve"> PAGE </w:instrText>
        </w:r>
        <w:r>
          <w:rPr>
            <w:rStyle w:val="af0"/>
          </w:rPr>
          <w:fldChar w:fldCharType="separate"/>
        </w:r>
        <w:r>
          <w:rPr>
            <w:rStyle w:val="af0"/>
          </w:rPr>
          <w:fldChar w:fldCharType="end"/>
        </w:r>
      </w:p>
    </w:sdtContent>
  </w:sdt>
  <w:p w14:paraId="18F97F1D" w14:textId="77777777" w:rsidR="00D47997" w:rsidRDefault="00D47997" w:rsidP="00D47997">
    <w:pPr>
      <w:pStyle w:val="a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2041397888"/>
      <w:docPartObj>
        <w:docPartGallery w:val="Page Numbers (Bottom of Page)"/>
        <w:docPartUnique/>
      </w:docPartObj>
    </w:sdtPr>
    <w:sdtContent>
      <w:p w14:paraId="5BFF801E" w14:textId="3AB5175B" w:rsidR="00D47997" w:rsidRDefault="00D47997" w:rsidP="00E007EB">
        <w:pPr>
          <w:pStyle w:val="ae"/>
          <w:framePr w:wrap="none" w:vAnchor="text" w:hAnchor="margin" w:xAlign="right" w:y="1"/>
          <w:rPr>
            <w:rStyle w:val="af0"/>
          </w:rPr>
        </w:pPr>
        <w:r>
          <w:rPr>
            <w:rStyle w:val="af0"/>
          </w:rPr>
          <w:fldChar w:fldCharType="begin"/>
        </w:r>
        <w:r>
          <w:rPr>
            <w:rStyle w:val="af0"/>
          </w:rPr>
          <w:instrText xml:space="preserve"> PAGE </w:instrText>
        </w:r>
        <w:r>
          <w:rPr>
            <w:rStyle w:val="af0"/>
          </w:rPr>
          <w:fldChar w:fldCharType="separate"/>
        </w:r>
        <w:r>
          <w:rPr>
            <w:rStyle w:val="af0"/>
            <w:noProof/>
          </w:rPr>
          <w:t>1</w:t>
        </w:r>
        <w:r>
          <w:rPr>
            <w:rStyle w:val="af0"/>
          </w:rPr>
          <w:fldChar w:fldCharType="end"/>
        </w:r>
      </w:p>
    </w:sdtContent>
  </w:sdt>
  <w:p w14:paraId="3491E4B3" w14:textId="77777777" w:rsidR="00D47997" w:rsidRDefault="00D47997" w:rsidP="00D47997">
    <w:pPr>
      <w:pStyle w:val="a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06252" w14:textId="77777777" w:rsidR="00CD01EA" w:rsidRDefault="00CD01EA" w:rsidP="00D47997">
      <w:pPr>
        <w:spacing w:after="0" w:line="240" w:lineRule="auto"/>
      </w:pPr>
      <w:r>
        <w:separator/>
      </w:r>
    </w:p>
  </w:footnote>
  <w:footnote w:type="continuationSeparator" w:id="0">
    <w:p w14:paraId="060E53BC" w14:textId="77777777" w:rsidR="00CD01EA" w:rsidRDefault="00CD01EA" w:rsidP="00D479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D308A"/>
    <w:multiLevelType w:val="multilevel"/>
    <w:tmpl w:val="9642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B61B5C"/>
    <w:multiLevelType w:val="multilevel"/>
    <w:tmpl w:val="AF84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405B13"/>
    <w:multiLevelType w:val="multilevel"/>
    <w:tmpl w:val="7E4A5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8735725">
    <w:abstractNumId w:val="1"/>
  </w:num>
  <w:num w:numId="2" w16cid:durableId="1899900298">
    <w:abstractNumId w:val="2"/>
  </w:num>
  <w:num w:numId="3" w16cid:durableId="1815291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proofState w:spelling="clean" w:grammar="clean"/>
  <w:defaultTabStop w:val="840"/>
  <w:drawingGridHorizontalSpacing w:val="11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游明朝&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Libraries&gt;&lt;item db-id=&quot;05x9axpzsz5twaew5s0500tr90zzfepxexte&quot;&gt;My EndNote Library&lt;record-ids&gt;&lt;item&gt;931&lt;/item&gt;&lt;item&gt;932&lt;/item&gt;&lt;item&gt;933&lt;/item&gt;&lt;item&gt;934&lt;/item&gt;&lt;item&gt;935&lt;/item&gt;&lt;/record-ids&gt;&lt;/item&gt;&lt;/Libraries&gt;"/>
  </w:docVars>
  <w:rsids>
    <w:rsidRoot w:val="0022059F"/>
    <w:rsid w:val="00037118"/>
    <w:rsid w:val="00077BBD"/>
    <w:rsid w:val="000A6A33"/>
    <w:rsid w:val="000D2DF5"/>
    <w:rsid w:val="00124C89"/>
    <w:rsid w:val="00130734"/>
    <w:rsid w:val="001440F1"/>
    <w:rsid w:val="00152824"/>
    <w:rsid w:val="00166C1B"/>
    <w:rsid w:val="001B42EC"/>
    <w:rsid w:val="001C03B2"/>
    <w:rsid w:val="001C171D"/>
    <w:rsid w:val="001C4473"/>
    <w:rsid w:val="001C4D2F"/>
    <w:rsid w:val="001D1C76"/>
    <w:rsid w:val="001E732A"/>
    <w:rsid w:val="00206C90"/>
    <w:rsid w:val="0022059F"/>
    <w:rsid w:val="00226D7C"/>
    <w:rsid w:val="00251EE1"/>
    <w:rsid w:val="002762AC"/>
    <w:rsid w:val="002802D1"/>
    <w:rsid w:val="002A6C86"/>
    <w:rsid w:val="002B6492"/>
    <w:rsid w:val="002D5366"/>
    <w:rsid w:val="002E67B6"/>
    <w:rsid w:val="0030064B"/>
    <w:rsid w:val="0032464E"/>
    <w:rsid w:val="00375627"/>
    <w:rsid w:val="003B5547"/>
    <w:rsid w:val="003B5D17"/>
    <w:rsid w:val="003C5106"/>
    <w:rsid w:val="003E6698"/>
    <w:rsid w:val="004627E2"/>
    <w:rsid w:val="00481BE2"/>
    <w:rsid w:val="0049683F"/>
    <w:rsid w:val="00512413"/>
    <w:rsid w:val="00556A1D"/>
    <w:rsid w:val="0057142F"/>
    <w:rsid w:val="0058537C"/>
    <w:rsid w:val="00586A19"/>
    <w:rsid w:val="005879D8"/>
    <w:rsid w:val="005C3C9D"/>
    <w:rsid w:val="005D470D"/>
    <w:rsid w:val="005D5B52"/>
    <w:rsid w:val="005F7ADD"/>
    <w:rsid w:val="00611BB4"/>
    <w:rsid w:val="006365CF"/>
    <w:rsid w:val="00650293"/>
    <w:rsid w:val="006514C0"/>
    <w:rsid w:val="006779D8"/>
    <w:rsid w:val="006A1738"/>
    <w:rsid w:val="006C29C3"/>
    <w:rsid w:val="006C6051"/>
    <w:rsid w:val="006C7897"/>
    <w:rsid w:val="006D5484"/>
    <w:rsid w:val="006E3B8D"/>
    <w:rsid w:val="00707B90"/>
    <w:rsid w:val="00715DFA"/>
    <w:rsid w:val="0072546E"/>
    <w:rsid w:val="00732205"/>
    <w:rsid w:val="00742AB7"/>
    <w:rsid w:val="00765F5C"/>
    <w:rsid w:val="00792AC6"/>
    <w:rsid w:val="007A78BB"/>
    <w:rsid w:val="007B533F"/>
    <w:rsid w:val="007C7D95"/>
    <w:rsid w:val="007E32F6"/>
    <w:rsid w:val="007F61AD"/>
    <w:rsid w:val="00801E79"/>
    <w:rsid w:val="0080407C"/>
    <w:rsid w:val="00804969"/>
    <w:rsid w:val="008208A9"/>
    <w:rsid w:val="00832167"/>
    <w:rsid w:val="008467A3"/>
    <w:rsid w:val="00873D37"/>
    <w:rsid w:val="008B5690"/>
    <w:rsid w:val="008E0717"/>
    <w:rsid w:val="00931A13"/>
    <w:rsid w:val="009501B3"/>
    <w:rsid w:val="0097153C"/>
    <w:rsid w:val="009A024C"/>
    <w:rsid w:val="009A3F34"/>
    <w:rsid w:val="009B7014"/>
    <w:rsid w:val="00A50026"/>
    <w:rsid w:val="00AF46C0"/>
    <w:rsid w:val="00B05211"/>
    <w:rsid w:val="00B0723B"/>
    <w:rsid w:val="00B40C6B"/>
    <w:rsid w:val="00B4568B"/>
    <w:rsid w:val="00B5147E"/>
    <w:rsid w:val="00B77CA3"/>
    <w:rsid w:val="00BC1299"/>
    <w:rsid w:val="00BD54FB"/>
    <w:rsid w:val="00BF0FD1"/>
    <w:rsid w:val="00C13709"/>
    <w:rsid w:val="00C343FD"/>
    <w:rsid w:val="00C35DC6"/>
    <w:rsid w:val="00C67BEF"/>
    <w:rsid w:val="00C84FA5"/>
    <w:rsid w:val="00C903C9"/>
    <w:rsid w:val="00C9072D"/>
    <w:rsid w:val="00C92947"/>
    <w:rsid w:val="00C9641B"/>
    <w:rsid w:val="00CC4977"/>
    <w:rsid w:val="00CD01EA"/>
    <w:rsid w:val="00D00567"/>
    <w:rsid w:val="00D17483"/>
    <w:rsid w:val="00D2195A"/>
    <w:rsid w:val="00D4004C"/>
    <w:rsid w:val="00D47997"/>
    <w:rsid w:val="00D544D5"/>
    <w:rsid w:val="00D87188"/>
    <w:rsid w:val="00D91CC3"/>
    <w:rsid w:val="00DA41B4"/>
    <w:rsid w:val="00E30E71"/>
    <w:rsid w:val="00E734E6"/>
    <w:rsid w:val="00E90E95"/>
    <w:rsid w:val="00E94EDB"/>
    <w:rsid w:val="00E97810"/>
    <w:rsid w:val="00ED41AC"/>
    <w:rsid w:val="00EF063D"/>
    <w:rsid w:val="00EF339F"/>
    <w:rsid w:val="00EF756C"/>
    <w:rsid w:val="00F165E3"/>
    <w:rsid w:val="00F25099"/>
    <w:rsid w:val="00F4421C"/>
    <w:rsid w:val="00F6480B"/>
    <w:rsid w:val="00F65C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7DFB78B"/>
  <w15:chartTrackingRefBased/>
  <w15:docId w15:val="{0B404D8C-12AE-4F8F-AAE7-20A9A554C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2059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2059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2059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unhideWhenUsed/>
    <w:qFormat/>
    <w:rsid w:val="0022059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unhideWhenUsed/>
    <w:qFormat/>
    <w:rsid w:val="0022059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2059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2059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2059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2059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2059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2059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2059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rsid w:val="0022059F"/>
    <w:rPr>
      <w:rFonts w:asciiTheme="majorHAnsi" w:eastAsiaTheme="majorEastAsia" w:hAnsiTheme="majorHAnsi" w:cstheme="majorBidi"/>
      <w:color w:val="000000" w:themeColor="text1"/>
    </w:rPr>
  </w:style>
  <w:style w:type="character" w:customStyle="1" w:styleId="50">
    <w:name w:val="見出し 5 (文字)"/>
    <w:basedOn w:val="a0"/>
    <w:link w:val="5"/>
    <w:uiPriority w:val="9"/>
    <w:rsid w:val="0022059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2059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2059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2059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2059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2059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205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2059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2059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2059F"/>
    <w:pPr>
      <w:spacing w:before="160"/>
      <w:jc w:val="center"/>
    </w:pPr>
    <w:rPr>
      <w:i/>
      <w:iCs/>
      <w:color w:val="404040" w:themeColor="text1" w:themeTint="BF"/>
    </w:rPr>
  </w:style>
  <w:style w:type="character" w:customStyle="1" w:styleId="a8">
    <w:name w:val="引用文 (文字)"/>
    <w:basedOn w:val="a0"/>
    <w:link w:val="a7"/>
    <w:uiPriority w:val="29"/>
    <w:rsid w:val="0022059F"/>
    <w:rPr>
      <w:i/>
      <w:iCs/>
      <w:color w:val="404040" w:themeColor="text1" w:themeTint="BF"/>
    </w:rPr>
  </w:style>
  <w:style w:type="paragraph" w:styleId="a9">
    <w:name w:val="List Paragraph"/>
    <w:basedOn w:val="a"/>
    <w:uiPriority w:val="34"/>
    <w:qFormat/>
    <w:rsid w:val="0022059F"/>
    <w:pPr>
      <w:ind w:left="720"/>
      <w:contextualSpacing/>
    </w:pPr>
  </w:style>
  <w:style w:type="character" w:styleId="21">
    <w:name w:val="Intense Emphasis"/>
    <w:basedOn w:val="a0"/>
    <w:uiPriority w:val="21"/>
    <w:qFormat/>
    <w:rsid w:val="0022059F"/>
    <w:rPr>
      <w:i/>
      <w:iCs/>
      <w:color w:val="0F4761" w:themeColor="accent1" w:themeShade="BF"/>
    </w:rPr>
  </w:style>
  <w:style w:type="paragraph" w:styleId="22">
    <w:name w:val="Intense Quote"/>
    <w:basedOn w:val="a"/>
    <w:next w:val="a"/>
    <w:link w:val="23"/>
    <w:uiPriority w:val="30"/>
    <w:qFormat/>
    <w:rsid w:val="002205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2059F"/>
    <w:rPr>
      <w:i/>
      <w:iCs/>
      <w:color w:val="0F4761" w:themeColor="accent1" w:themeShade="BF"/>
    </w:rPr>
  </w:style>
  <w:style w:type="character" w:styleId="24">
    <w:name w:val="Intense Reference"/>
    <w:basedOn w:val="a0"/>
    <w:uiPriority w:val="32"/>
    <w:qFormat/>
    <w:rsid w:val="0022059F"/>
    <w:rPr>
      <w:b/>
      <w:bCs/>
      <w:smallCaps/>
      <w:color w:val="0F4761" w:themeColor="accent1" w:themeShade="BF"/>
      <w:spacing w:val="5"/>
    </w:rPr>
  </w:style>
  <w:style w:type="character" w:styleId="aa">
    <w:name w:val="Placeholder Text"/>
    <w:basedOn w:val="a0"/>
    <w:uiPriority w:val="99"/>
    <w:semiHidden/>
    <w:rsid w:val="001E732A"/>
    <w:rPr>
      <w:color w:val="666666"/>
    </w:rPr>
  </w:style>
  <w:style w:type="character" w:styleId="ab">
    <w:name w:val="Hyperlink"/>
    <w:basedOn w:val="a0"/>
    <w:uiPriority w:val="99"/>
    <w:unhideWhenUsed/>
    <w:rsid w:val="00B0723B"/>
    <w:rPr>
      <w:color w:val="467886" w:themeColor="hyperlink"/>
      <w:u w:val="single"/>
    </w:rPr>
  </w:style>
  <w:style w:type="character" w:styleId="ac">
    <w:name w:val="Unresolved Mention"/>
    <w:basedOn w:val="a0"/>
    <w:uiPriority w:val="99"/>
    <w:semiHidden/>
    <w:unhideWhenUsed/>
    <w:rsid w:val="00B0723B"/>
    <w:rPr>
      <w:color w:val="605E5C"/>
      <w:shd w:val="clear" w:color="auto" w:fill="E1DFDD"/>
    </w:rPr>
  </w:style>
  <w:style w:type="paragraph" w:customStyle="1" w:styleId="EndNoteBibliographyTitle">
    <w:name w:val="EndNote Bibliography Title"/>
    <w:basedOn w:val="a"/>
    <w:link w:val="EndNoteBibliographyTitle0"/>
    <w:rsid w:val="00D00567"/>
    <w:pPr>
      <w:spacing w:after="0"/>
      <w:jc w:val="center"/>
    </w:pPr>
    <w:rPr>
      <w:rFonts w:ascii="游明朝" w:eastAsia="游明朝" w:hAnsi="游明朝"/>
    </w:rPr>
  </w:style>
  <w:style w:type="character" w:customStyle="1" w:styleId="EndNoteBibliographyTitle0">
    <w:name w:val="EndNote Bibliography Title (文字)"/>
    <w:basedOn w:val="a0"/>
    <w:link w:val="EndNoteBibliographyTitle"/>
    <w:rsid w:val="00D00567"/>
    <w:rPr>
      <w:rFonts w:ascii="游明朝" w:eastAsia="游明朝" w:hAnsi="游明朝"/>
    </w:rPr>
  </w:style>
  <w:style w:type="paragraph" w:customStyle="1" w:styleId="EndNoteBibliography">
    <w:name w:val="EndNote Bibliography"/>
    <w:basedOn w:val="a"/>
    <w:link w:val="EndNoteBibliography0"/>
    <w:rsid w:val="00D00567"/>
    <w:pPr>
      <w:spacing w:line="240" w:lineRule="auto"/>
    </w:pPr>
    <w:rPr>
      <w:rFonts w:ascii="游明朝" w:eastAsia="游明朝" w:hAnsi="游明朝"/>
    </w:rPr>
  </w:style>
  <w:style w:type="character" w:customStyle="1" w:styleId="EndNoteBibliography0">
    <w:name w:val="EndNote Bibliography (文字)"/>
    <w:basedOn w:val="a0"/>
    <w:link w:val="EndNoteBibliography"/>
    <w:rsid w:val="00D00567"/>
    <w:rPr>
      <w:rFonts w:ascii="游明朝" w:eastAsia="游明朝" w:hAnsi="游明朝"/>
    </w:rPr>
  </w:style>
  <w:style w:type="character" w:styleId="ad">
    <w:name w:val="line number"/>
    <w:basedOn w:val="a0"/>
    <w:uiPriority w:val="99"/>
    <w:semiHidden/>
    <w:unhideWhenUsed/>
    <w:rsid w:val="00D47997"/>
  </w:style>
  <w:style w:type="paragraph" w:styleId="ae">
    <w:name w:val="footer"/>
    <w:basedOn w:val="a"/>
    <w:link w:val="af"/>
    <w:uiPriority w:val="99"/>
    <w:unhideWhenUsed/>
    <w:rsid w:val="00D47997"/>
    <w:pPr>
      <w:tabs>
        <w:tab w:val="center" w:pos="4252"/>
        <w:tab w:val="right" w:pos="8504"/>
      </w:tabs>
      <w:snapToGrid w:val="0"/>
    </w:pPr>
  </w:style>
  <w:style w:type="character" w:customStyle="1" w:styleId="af">
    <w:name w:val="フッター (文字)"/>
    <w:basedOn w:val="a0"/>
    <w:link w:val="ae"/>
    <w:uiPriority w:val="99"/>
    <w:rsid w:val="00D47997"/>
  </w:style>
  <w:style w:type="character" w:styleId="af0">
    <w:name w:val="page number"/>
    <w:basedOn w:val="a0"/>
    <w:uiPriority w:val="99"/>
    <w:semiHidden/>
    <w:unhideWhenUsed/>
    <w:rsid w:val="00D47997"/>
  </w:style>
  <w:style w:type="character" w:styleId="af1">
    <w:name w:val="FollowedHyperlink"/>
    <w:basedOn w:val="a0"/>
    <w:uiPriority w:val="99"/>
    <w:semiHidden/>
    <w:unhideWhenUsed/>
    <w:rsid w:val="00AF46C0"/>
    <w:rPr>
      <w:color w:val="96607D"/>
      <w:u w:val="single"/>
    </w:rPr>
  </w:style>
  <w:style w:type="paragraph" w:customStyle="1" w:styleId="msonormal0">
    <w:name w:val="msonormal"/>
    <w:basedOn w:val="a"/>
    <w:rsid w:val="00AF46C0"/>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customStyle="1" w:styleId="xl65">
    <w:name w:val="xl65"/>
    <w:basedOn w:val="a"/>
    <w:rsid w:val="00AF46C0"/>
    <w:pPr>
      <w:widowControl/>
      <w:pBdr>
        <w:top w:val="single" w:sz="4" w:space="0" w:color="auto"/>
        <w:bottom w:val="single" w:sz="4" w:space="0" w:color="auto"/>
      </w:pBdr>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customStyle="1" w:styleId="xl66">
    <w:name w:val="xl66"/>
    <w:basedOn w:val="a"/>
    <w:rsid w:val="00AF46C0"/>
    <w:pPr>
      <w:widowControl/>
      <w:pBdr>
        <w:top w:val="single" w:sz="4" w:space="0" w:color="auto"/>
        <w:bottom w:val="single" w:sz="4" w:space="0" w:color="auto"/>
      </w:pBdr>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customStyle="1" w:styleId="xl68">
    <w:name w:val="xl68"/>
    <w:basedOn w:val="a"/>
    <w:rsid w:val="00AF46C0"/>
    <w:pPr>
      <w:widowControl/>
      <w:pBdr>
        <w:bottom w:val="single" w:sz="4" w:space="0" w:color="auto"/>
      </w:pBdr>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customStyle="1" w:styleId="xl69">
    <w:name w:val="xl69"/>
    <w:basedOn w:val="a"/>
    <w:rsid w:val="00AF46C0"/>
    <w:pPr>
      <w:widowControl/>
      <w:pBdr>
        <w:bottom w:val="single" w:sz="4" w:space="0" w:color="auto"/>
      </w:pBdr>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03929">
      <w:bodyDiv w:val="1"/>
      <w:marLeft w:val="0"/>
      <w:marRight w:val="0"/>
      <w:marTop w:val="0"/>
      <w:marBottom w:val="0"/>
      <w:divBdr>
        <w:top w:val="none" w:sz="0" w:space="0" w:color="auto"/>
        <w:left w:val="none" w:sz="0" w:space="0" w:color="auto"/>
        <w:bottom w:val="none" w:sz="0" w:space="0" w:color="auto"/>
        <w:right w:val="none" w:sz="0" w:space="0" w:color="auto"/>
      </w:divBdr>
    </w:div>
    <w:div w:id="126893558">
      <w:bodyDiv w:val="1"/>
      <w:marLeft w:val="0"/>
      <w:marRight w:val="0"/>
      <w:marTop w:val="0"/>
      <w:marBottom w:val="0"/>
      <w:divBdr>
        <w:top w:val="none" w:sz="0" w:space="0" w:color="auto"/>
        <w:left w:val="none" w:sz="0" w:space="0" w:color="auto"/>
        <w:bottom w:val="none" w:sz="0" w:space="0" w:color="auto"/>
        <w:right w:val="none" w:sz="0" w:space="0" w:color="auto"/>
      </w:divBdr>
    </w:div>
    <w:div w:id="190143918">
      <w:bodyDiv w:val="1"/>
      <w:marLeft w:val="0"/>
      <w:marRight w:val="0"/>
      <w:marTop w:val="0"/>
      <w:marBottom w:val="0"/>
      <w:divBdr>
        <w:top w:val="none" w:sz="0" w:space="0" w:color="auto"/>
        <w:left w:val="none" w:sz="0" w:space="0" w:color="auto"/>
        <w:bottom w:val="none" w:sz="0" w:space="0" w:color="auto"/>
        <w:right w:val="none" w:sz="0" w:space="0" w:color="auto"/>
      </w:divBdr>
    </w:div>
    <w:div w:id="280309589">
      <w:bodyDiv w:val="1"/>
      <w:marLeft w:val="0"/>
      <w:marRight w:val="0"/>
      <w:marTop w:val="0"/>
      <w:marBottom w:val="0"/>
      <w:divBdr>
        <w:top w:val="none" w:sz="0" w:space="0" w:color="auto"/>
        <w:left w:val="none" w:sz="0" w:space="0" w:color="auto"/>
        <w:bottom w:val="none" w:sz="0" w:space="0" w:color="auto"/>
        <w:right w:val="none" w:sz="0" w:space="0" w:color="auto"/>
      </w:divBdr>
    </w:div>
    <w:div w:id="595747719">
      <w:bodyDiv w:val="1"/>
      <w:marLeft w:val="0"/>
      <w:marRight w:val="0"/>
      <w:marTop w:val="0"/>
      <w:marBottom w:val="0"/>
      <w:divBdr>
        <w:top w:val="none" w:sz="0" w:space="0" w:color="auto"/>
        <w:left w:val="none" w:sz="0" w:space="0" w:color="auto"/>
        <w:bottom w:val="none" w:sz="0" w:space="0" w:color="auto"/>
        <w:right w:val="none" w:sz="0" w:space="0" w:color="auto"/>
      </w:divBdr>
      <w:divsChild>
        <w:div w:id="111824586">
          <w:marLeft w:val="0"/>
          <w:marRight w:val="0"/>
          <w:marTop w:val="0"/>
          <w:marBottom w:val="0"/>
          <w:divBdr>
            <w:top w:val="none" w:sz="0" w:space="0" w:color="auto"/>
            <w:left w:val="none" w:sz="0" w:space="0" w:color="auto"/>
            <w:bottom w:val="none" w:sz="0" w:space="0" w:color="auto"/>
            <w:right w:val="none" w:sz="0" w:space="0" w:color="auto"/>
          </w:divBdr>
          <w:divsChild>
            <w:div w:id="1664700965">
              <w:marLeft w:val="0"/>
              <w:marRight w:val="0"/>
              <w:marTop w:val="0"/>
              <w:marBottom w:val="0"/>
              <w:divBdr>
                <w:top w:val="none" w:sz="0" w:space="0" w:color="auto"/>
                <w:left w:val="none" w:sz="0" w:space="0" w:color="auto"/>
                <w:bottom w:val="none" w:sz="0" w:space="0" w:color="auto"/>
                <w:right w:val="none" w:sz="0" w:space="0" w:color="auto"/>
              </w:divBdr>
            </w:div>
          </w:divsChild>
        </w:div>
        <w:div w:id="1911890277">
          <w:marLeft w:val="0"/>
          <w:marRight w:val="0"/>
          <w:marTop w:val="0"/>
          <w:marBottom w:val="0"/>
          <w:divBdr>
            <w:top w:val="none" w:sz="0" w:space="0" w:color="auto"/>
            <w:left w:val="none" w:sz="0" w:space="0" w:color="auto"/>
            <w:bottom w:val="none" w:sz="0" w:space="0" w:color="auto"/>
            <w:right w:val="none" w:sz="0" w:space="0" w:color="auto"/>
          </w:divBdr>
          <w:divsChild>
            <w:div w:id="87654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29260">
      <w:bodyDiv w:val="1"/>
      <w:marLeft w:val="0"/>
      <w:marRight w:val="0"/>
      <w:marTop w:val="0"/>
      <w:marBottom w:val="0"/>
      <w:divBdr>
        <w:top w:val="none" w:sz="0" w:space="0" w:color="auto"/>
        <w:left w:val="none" w:sz="0" w:space="0" w:color="auto"/>
        <w:bottom w:val="none" w:sz="0" w:space="0" w:color="auto"/>
        <w:right w:val="none" w:sz="0" w:space="0" w:color="auto"/>
      </w:divBdr>
      <w:divsChild>
        <w:div w:id="1523783608">
          <w:marLeft w:val="0"/>
          <w:marRight w:val="0"/>
          <w:marTop w:val="0"/>
          <w:marBottom w:val="0"/>
          <w:divBdr>
            <w:top w:val="none" w:sz="0" w:space="0" w:color="auto"/>
            <w:left w:val="none" w:sz="0" w:space="0" w:color="auto"/>
            <w:bottom w:val="none" w:sz="0" w:space="0" w:color="auto"/>
            <w:right w:val="none" w:sz="0" w:space="0" w:color="auto"/>
          </w:divBdr>
          <w:divsChild>
            <w:div w:id="203325341">
              <w:marLeft w:val="0"/>
              <w:marRight w:val="0"/>
              <w:marTop w:val="0"/>
              <w:marBottom w:val="0"/>
              <w:divBdr>
                <w:top w:val="none" w:sz="0" w:space="0" w:color="auto"/>
                <w:left w:val="none" w:sz="0" w:space="0" w:color="auto"/>
                <w:bottom w:val="none" w:sz="0" w:space="0" w:color="auto"/>
                <w:right w:val="none" w:sz="0" w:space="0" w:color="auto"/>
              </w:divBdr>
            </w:div>
          </w:divsChild>
        </w:div>
        <w:div w:id="661932932">
          <w:marLeft w:val="0"/>
          <w:marRight w:val="0"/>
          <w:marTop w:val="0"/>
          <w:marBottom w:val="0"/>
          <w:divBdr>
            <w:top w:val="none" w:sz="0" w:space="0" w:color="auto"/>
            <w:left w:val="none" w:sz="0" w:space="0" w:color="auto"/>
            <w:bottom w:val="none" w:sz="0" w:space="0" w:color="auto"/>
            <w:right w:val="none" w:sz="0" w:space="0" w:color="auto"/>
          </w:divBdr>
          <w:divsChild>
            <w:div w:id="88900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05560">
      <w:bodyDiv w:val="1"/>
      <w:marLeft w:val="0"/>
      <w:marRight w:val="0"/>
      <w:marTop w:val="0"/>
      <w:marBottom w:val="0"/>
      <w:divBdr>
        <w:top w:val="none" w:sz="0" w:space="0" w:color="auto"/>
        <w:left w:val="none" w:sz="0" w:space="0" w:color="auto"/>
        <w:bottom w:val="none" w:sz="0" w:space="0" w:color="auto"/>
        <w:right w:val="none" w:sz="0" w:space="0" w:color="auto"/>
      </w:divBdr>
    </w:div>
    <w:div w:id="898713123">
      <w:bodyDiv w:val="1"/>
      <w:marLeft w:val="0"/>
      <w:marRight w:val="0"/>
      <w:marTop w:val="0"/>
      <w:marBottom w:val="0"/>
      <w:divBdr>
        <w:top w:val="none" w:sz="0" w:space="0" w:color="auto"/>
        <w:left w:val="none" w:sz="0" w:space="0" w:color="auto"/>
        <w:bottom w:val="none" w:sz="0" w:space="0" w:color="auto"/>
        <w:right w:val="none" w:sz="0" w:space="0" w:color="auto"/>
      </w:divBdr>
    </w:div>
    <w:div w:id="905578811">
      <w:bodyDiv w:val="1"/>
      <w:marLeft w:val="0"/>
      <w:marRight w:val="0"/>
      <w:marTop w:val="0"/>
      <w:marBottom w:val="0"/>
      <w:divBdr>
        <w:top w:val="none" w:sz="0" w:space="0" w:color="auto"/>
        <w:left w:val="none" w:sz="0" w:space="0" w:color="auto"/>
        <w:bottom w:val="none" w:sz="0" w:space="0" w:color="auto"/>
        <w:right w:val="none" w:sz="0" w:space="0" w:color="auto"/>
      </w:divBdr>
    </w:div>
    <w:div w:id="1053508059">
      <w:bodyDiv w:val="1"/>
      <w:marLeft w:val="0"/>
      <w:marRight w:val="0"/>
      <w:marTop w:val="0"/>
      <w:marBottom w:val="0"/>
      <w:divBdr>
        <w:top w:val="none" w:sz="0" w:space="0" w:color="auto"/>
        <w:left w:val="none" w:sz="0" w:space="0" w:color="auto"/>
        <w:bottom w:val="none" w:sz="0" w:space="0" w:color="auto"/>
        <w:right w:val="none" w:sz="0" w:space="0" w:color="auto"/>
      </w:divBdr>
    </w:div>
    <w:div w:id="1073360145">
      <w:bodyDiv w:val="1"/>
      <w:marLeft w:val="0"/>
      <w:marRight w:val="0"/>
      <w:marTop w:val="0"/>
      <w:marBottom w:val="0"/>
      <w:divBdr>
        <w:top w:val="none" w:sz="0" w:space="0" w:color="auto"/>
        <w:left w:val="none" w:sz="0" w:space="0" w:color="auto"/>
        <w:bottom w:val="none" w:sz="0" w:space="0" w:color="auto"/>
        <w:right w:val="none" w:sz="0" w:space="0" w:color="auto"/>
      </w:divBdr>
      <w:divsChild>
        <w:div w:id="690493753">
          <w:marLeft w:val="0"/>
          <w:marRight w:val="0"/>
          <w:marTop w:val="0"/>
          <w:marBottom w:val="0"/>
          <w:divBdr>
            <w:top w:val="none" w:sz="0" w:space="0" w:color="auto"/>
            <w:left w:val="none" w:sz="0" w:space="0" w:color="auto"/>
            <w:bottom w:val="none" w:sz="0" w:space="0" w:color="auto"/>
            <w:right w:val="none" w:sz="0" w:space="0" w:color="auto"/>
          </w:divBdr>
          <w:divsChild>
            <w:div w:id="438378269">
              <w:marLeft w:val="0"/>
              <w:marRight w:val="0"/>
              <w:marTop w:val="0"/>
              <w:marBottom w:val="0"/>
              <w:divBdr>
                <w:top w:val="none" w:sz="0" w:space="0" w:color="auto"/>
                <w:left w:val="none" w:sz="0" w:space="0" w:color="auto"/>
                <w:bottom w:val="none" w:sz="0" w:space="0" w:color="auto"/>
                <w:right w:val="none" w:sz="0" w:space="0" w:color="auto"/>
              </w:divBdr>
              <w:divsChild>
                <w:div w:id="498278723">
                  <w:marLeft w:val="0"/>
                  <w:marRight w:val="0"/>
                  <w:marTop w:val="0"/>
                  <w:marBottom w:val="0"/>
                  <w:divBdr>
                    <w:top w:val="none" w:sz="0" w:space="0" w:color="auto"/>
                    <w:left w:val="none" w:sz="0" w:space="0" w:color="auto"/>
                    <w:bottom w:val="none" w:sz="0" w:space="0" w:color="auto"/>
                    <w:right w:val="none" w:sz="0" w:space="0" w:color="auto"/>
                  </w:divBdr>
                  <w:divsChild>
                    <w:div w:id="479155654">
                      <w:marLeft w:val="0"/>
                      <w:marRight w:val="0"/>
                      <w:marTop w:val="0"/>
                      <w:marBottom w:val="0"/>
                      <w:divBdr>
                        <w:top w:val="none" w:sz="0" w:space="0" w:color="auto"/>
                        <w:left w:val="none" w:sz="0" w:space="0" w:color="auto"/>
                        <w:bottom w:val="none" w:sz="0" w:space="0" w:color="auto"/>
                        <w:right w:val="none" w:sz="0" w:space="0" w:color="auto"/>
                      </w:divBdr>
                      <w:divsChild>
                        <w:div w:id="1958027223">
                          <w:marLeft w:val="0"/>
                          <w:marRight w:val="0"/>
                          <w:marTop w:val="0"/>
                          <w:marBottom w:val="0"/>
                          <w:divBdr>
                            <w:top w:val="none" w:sz="0" w:space="0" w:color="auto"/>
                            <w:left w:val="none" w:sz="0" w:space="0" w:color="auto"/>
                            <w:bottom w:val="none" w:sz="0" w:space="0" w:color="auto"/>
                            <w:right w:val="none" w:sz="0" w:space="0" w:color="auto"/>
                          </w:divBdr>
                          <w:divsChild>
                            <w:div w:id="1877892416">
                              <w:marLeft w:val="0"/>
                              <w:marRight w:val="0"/>
                              <w:marTop w:val="0"/>
                              <w:marBottom w:val="0"/>
                              <w:divBdr>
                                <w:top w:val="none" w:sz="0" w:space="0" w:color="auto"/>
                                <w:left w:val="none" w:sz="0" w:space="0" w:color="auto"/>
                                <w:bottom w:val="none" w:sz="0" w:space="0" w:color="auto"/>
                                <w:right w:val="none" w:sz="0" w:space="0" w:color="auto"/>
                              </w:divBdr>
                              <w:divsChild>
                                <w:div w:id="994988474">
                                  <w:marLeft w:val="0"/>
                                  <w:marRight w:val="0"/>
                                  <w:marTop w:val="0"/>
                                  <w:marBottom w:val="0"/>
                                  <w:divBdr>
                                    <w:top w:val="none" w:sz="0" w:space="0" w:color="auto"/>
                                    <w:left w:val="none" w:sz="0" w:space="0" w:color="auto"/>
                                    <w:bottom w:val="none" w:sz="0" w:space="0" w:color="auto"/>
                                    <w:right w:val="none" w:sz="0" w:space="0" w:color="auto"/>
                                  </w:divBdr>
                                  <w:divsChild>
                                    <w:div w:id="192336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7232743">
      <w:bodyDiv w:val="1"/>
      <w:marLeft w:val="0"/>
      <w:marRight w:val="0"/>
      <w:marTop w:val="0"/>
      <w:marBottom w:val="0"/>
      <w:divBdr>
        <w:top w:val="none" w:sz="0" w:space="0" w:color="auto"/>
        <w:left w:val="none" w:sz="0" w:space="0" w:color="auto"/>
        <w:bottom w:val="none" w:sz="0" w:space="0" w:color="auto"/>
        <w:right w:val="none" w:sz="0" w:space="0" w:color="auto"/>
      </w:divBdr>
    </w:div>
    <w:div w:id="1138456480">
      <w:bodyDiv w:val="1"/>
      <w:marLeft w:val="0"/>
      <w:marRight w:val="0"/>
      <w:marTop w:val="0"/>
      <w:marBottom w:val="0"/>
      <w:divBdr>
        <w:top w:val="none" w:sz="0" w:space="0" w:color="auto"/>
        <w:left w:val="none" w:sz="0" w:space="0" w:color="auto"/>
        <w:bottom w:val="none" w:sz="0" w:space="0" w:color="auto"/>
        <w:right w:val="none" w:sz="0" w:space="0" w:color="auto"/>
      </w:divBdr>
      <w:divsChild>
        <w:div w:id="817381048">
          <w:marLeft w:val="0"/>
          <w:marRight w:val="0"/>
          <w:marTop w:val="0"/>
          <w:marBottom w:val="0"/>
          <w:divBdr>
            <w:top w:val="none" w:sz="0" w:space="0" w:color="auto"/>
            <w:left w:val="none" w:sz="0" w:space="0" w:color="auto"/>
            <w:bottom w:val="none" w:sz="0" w:space="0" w:color="auto"/>
            <w:right w:val="none" w:sz="0" w:space="0" w:color="auto"/>
          </w:divBdr>
          <w:divsChild>
            <w:div w:id="731463359">
              <w:marLeft w:val="0"/>
              <w:marRight w:val="0"/>
              <w:marTop w:val="0"/>
              <w:marBottom w:val="0"/>
              <w:divBdr>
                <w:top w:val="none" w:sz="0" w:space="0" w:color="auto"/>
                <w:left w:val="none" w:sz="0" w:space="0" w:color="auto"/>
                <w:bottom w:val="none" w:sz="0" w:space="0" w:color="auto"/>
                <w:right w:val="none" w:sz="0" w:space="0" w:color="auto"/>
              </w:divBdr>
              <w:divsChild>
                <w:div w:id="536352000">
                  <w:marLeft w:val="0"/>
                  <w:marRight w:val="0"/>
                  <w:marTop w:val="0"/>
                  <w:marBottom w:val="0"/>
                  <w:divBdr>
                    <w:top w:val="none" w:sz="0" w:space="0" w:color="auto"/>
                    <w:left w:val="none" w:sz="0" w:space="0" w:color="auto"/>
                    <w:bottom w:val="none" w:sz="0" w:space="0" w:color="auto"/>
                    <w:right w:val="none" w:sz="0" w:space="0" w:color="auto"/>
                  </w:divBdr>
                  <w:divsChild>
                    <w:div w:id="1061948748">
                      <w:marLeft w:val="0"/>
                      <w:marRight w:val="0"/>
                      <w:marTop w:val="0"/>
                      <w:marBottom w:val="0"/>
                      <w:divBdr>
                        <w:top w:val="none" w:sz="0" w:space="0" w:color="auto"/>
                        <w:left w:val="none" w:sz="0" w:space="0" w:color="auto"/>
                        <w:bottom w:val="none" w:sz="0" w:space="0" w:color="auto"/>
                        <w:right w:val="none" w:sz="0" w:space="0" w:color="auto"/>
                      </w:divBdr>
                      <w:divsChild>
                        <w:div w:id="954095420">
                          <w:marLeft w:val="0"/>
                          <w:marRight w:val="0"/>
                          <w:marTop w:val="0"/>
                          <w:marBottom w:val="0"/>
                          <w:divBdr>
                            <w:top w:val="none" w:sz="0" w:space="0" w:color="auto"/>
                            <w:left w:val="none" w:sz="0" w:space="0" w:color="auto"/>
                            <w:bottom w:val="none" w:sz="0" w:space="0" w:color="auto"/>
                            <w:right w:val="none" w:sz="0" w:space="0" w:color="auto"/>
                          </w:divBdr>
                          <w:divsChild>
                            <w:div w:id="1306356548">
                              <w:marLeft w:val="0"/>
                              <w:marRight w:val="0"/>
                              <w:marTop w:val="0"/>
                              <w:marBottom w:val="0"/>
                              <w:divBdr>
                                <w:top w:val="none" w:sz="0" w:space="0" w:color="auto"/>
                                <w:left w:val="none" w:sz="0" w:space="0" w:color="auto"/>
                                <w:bottom w:val="none" w:sz="0" w:space="0" w:color="auto"/>
                                <w:right w:val="none" w:sz="0" w:space="0" w:color="auto"/>
                              </w:divBdr>
                              <w:divsChild>
                                <w:div w:id="1624070576">
                                  <w:marLeft w:val="0"/>
                                  <w:marRight w:val="0"/>
                                  <w:marTop w:val="0"/>
                                  <w:marBottom w:val="0"/>
                                  <w:divBdr>
                                    <w:top w:val="none" w:sz="0" w:space="0" w:color="auto"/>
                                    <w:left w:val="none" w:sz="0" w:space="0" w:color="auto"/>
                                    <w:bottom w:val="none" w:sz="0" w:space="0" w:color="auto"/>
                                    <w:right w:val="none" w:sz="0" w:space="0" w:color="auto"/>
                                  </w:divBdr>
                                  <w:divsChild>
                                    <w:div w:id="93428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6776925">
      <w:bodyDiv w:val="1"/>
      <w:marLeft w:val="0"/>
      <w:marRight w:val="0"/>
      <w:marTop w:val="0"/>
      <w:marBottom w:val="0"/>
      <w:divBdr>
        <w:top w:val="none" w:sz="0" w:space="0" w:color="auto"/>
        <w:left w:val="none" w:sz="0" w:space="0" w:color="auto"/>
        <w:bottom w:val="none" w:sz="0" w:space="0" w:color="auto"/>
        <w:right w:val="none" w:sz="0" w:space="0" w:color="auto"/>
      </w:divBdr>
    </w:div>
    <w:div w:id="1285113507">
      <w:bodyDiv w:val="1"/>
      <w:marLeft w:val="0"/>
      <w:marRight w:val="0"/>
      <w:marTop w:val="0"/>
      <w:marBottom w:val="0"/>
      <w:divBdr>
        <w:top w:val="none" w:sz="0" w:space="0" w:color="auto"/>
        <w:left w:val="none" w:sz="0" w:space="0" w:color="auto"/>
        <w:bottom w:val="none" w:sz="0" w:space="0" w:color="auto"/>
        <w:right w:val="none" w:sz="0" w:space="0" w:color="auto"/>
      </w:divBdr>
    </w:div>
    <w:div w:id="1380713472">
      <w:bodyDiv w:val="1"/>
      <w:marLeft w:val="0"/>
      <w:marRight w:val="0"/>
      <w:marTop w:val="0"/>
      <w:marBottom w:val="0"/>
      <w:divBdr>
        <w:top w:val="none" w:sz="0" w:space="0" w:color="auto"/>
        <w:left w:val="none" w:sz="0" w:space="0" w:color="auto"/>
        <w:bottom w:val="none" w:sz="0" w:space="0" w:color="auto"/>
        <w:right w:val="none" w:sz="0" w:space="0" w:color="auto"/>
      </w:divBdr>
    </w:div>
    <w:div w:id="1611165175">
      <w:bodyDiv w:val="1"/>
      <w:marLeft w:val="0"/>
      <w:marRight w:val="0"/>
      <w:marTop w:val="0"/>
      <w:marBottom w:val="0"/>
      <w:divBdr>
        <w:top w:val="none" w:sz="0" w:space="0" w:color="auto"/>
        <w:left w:val="none" w:sz="0" w:space="0" w:color="auto"/>
        <w:bottom w:val="none" w:sz="0" w:space="0" w:color="auto"/>
        <w:right w:val="none" w:sz="0" w:space="0" w:color="auto"/>
      </w:divBdr>
      <w:divsChild>
        <w:div w:id="823163111">
          <w:marLeft w:val="0"/>
          <w:marRight w:val="0"/>
          <w:marTop w:val="0"/>
          <w:marBottom w:val="0"/>
          <w:divBdr>
            <w:top w:val="none" w:sz="0" w:space="0" w:color="auto"/>
            <w:left w:val="none" w:sz="0" w:space="0" w:color="auto"/>
            <w:bottom w:val="none" w:sz="0" w:space="0" w:color="auto"/>
            <w:right w:val="none" w:sz="0" w:space="0" w:color="auto"/>
          </w:divBdr>
          <w:divsChild>
            <w:div w:id="45633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87825">
      <w:bodyDiv w:val="1"/>
      <w:marLeft w:val="0"/>
      <w:marRight w:val="0"/>
      <w:marTop w:val="0"/>
      <w:marBottom w:val="0"/>
      <w:divBdr>
        <w:top w:val="none" w:sz="0" w:space="0" w:color="auto"/>
        <w:left w:val="none" w:sz="0" w:space="0" w:color="auto"/>
        <w:bottom w:val="none" w:sz="0" w:space="0" w:color="auto"/>
        <w:right w:val="none" w:sz="0" w:space="0" w:color="auto"/>
      </w:divBdr>
    </w:div>
    <w:div w:id="2031451384">
      <w:bodyDiv w:val="1"/>
      <w:marLeft w:val="0"/>
      <w:marRight w:val="0"/>
      <w:marTop w:val="0"/>
      <w:marBottom w:val="0"/>
      <w:divBdr>
        <w:top w:val="none" w:sz="0" w:space="0" w:color="auto"/>
        <w:left w:val="none" w:sz="0" w:space="0" w:color="auto"/>
        <w:bottom w:val="none" w:sz="0" w:space="0" w:color="auto"/>
        <w:right w:val="none" w:sz="0" w:space="0" w:color="auto"/>
      </w:divBdr>
    </w:div>
    <w:div w:id="2111391418">
      <w:bodyDiv w:val="1"/>
      <w:marLeft w:val="0"/>
      <w:marRight w:val="0"/>
      <w:marTop w:val="0"/>
      <w:marBottom w:val="0"/>
      <w:divBdr>
        <w:top w:val="none" w:sz="0" w:space="0" w:color="auto"/>
        <w:left w:val="none" w:sz="0" w:space="0" w:color="auto"/>
        <w:bottom w:val="none" w:sz="0" w:space="0" w:color="auto"/>
        <w:right w:val="none" w:sz="0" w:space="0" w:color="auto"/>
      </w:divBdr>
      <w:divsChild>
        <w:div w:id="1970278167">
          <w:marLeft w:val="0"/>
          <w:marRight w:val="0"/>
          <w:marTop w:val="0"/>
          <w:marBottom w:val="0"/>
          <w:divBdr>
            <w:top w:val="none" w:sz="0" w:space="0" w:color="auto"/>
            <w:left w:val="none" w:sz="0" w:space="0" w:color="auto"/>
            <w:bottom w:val="none" w:sz="0" w:space="0" w:color="auto"/>
            <w:right w:val="none" w:sz="0" w:space="0" w:color="auto"/>
          </w:divBdr>
          <w:divsChild>
            <w:div w:id="30127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14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wahara.hlth@tmd.ac.jp" TargetMode="External"/><Relationship Id="rId13" Type="http://schemas.openxmlformats.org/officeDocument/2006/relationships/hyperlink" Target="https://doi.org/10.2307/2061674"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aagcuugggcu@gmail.com" TargetMode="External"/><Relationship Id="rId12" Type="http://schemas.openxmlformats.org/officeDocument/2006/relationships/hyperlink" Target="https://doi.org/10.1353/dem.2010.0002" TargetMode="External"/><Relationship Id="rId1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11/j.1748-3131.2009.01106.x" TargetMode="External"/><Relationship Id="rId5" Type="http://schemas.openxmlformats.org/officeDocument/2006/relationships/footnotes" Target="footnotes.xml"/><Relationship Id="rId15" Type="http://schemas.openxmlformats.org/officeDocument/2006/relationships/hyperlink" Target="https://www.imf.org/en/Publications/WP/Issues/2022/09/15/Structural-Reforms-and-Economic-Growth-A-Machine-Learning-Approach-523396" TargetMode="External"/><Relationship Id="rId10" Type="http://schemas.openxmlformats.org/officeDocument/2006/relationships/footer" Target="footer2.xml"/><Relationship Id="rId19"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doi.org/10.1111/j.1728-4457.2009.00274.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全般"/>
          <w:gallery w:val="placeholder"/>
        </w:category>
        <w:types>
          <w:type w:val="bbPlcHdr"/>
        </w:types>
        <w:behaviors>
          <w:behavior w:val="content"/>
        </w:behaviors>
        <w:guid w:val="{EB122EAE-B46D-A041-A1B7-1E2AE1C02DBC}"/>
      </w:docPartPr>
      <w:docPartBody>
        <w:p w:rsidR="00C0037A" w:rsidRDefault="00CC3014">
          <w:r w:rsidRPr="00F20F90">
            <w:rPr>
              <w:rStyle w:val="a3"/>
            </w:rPr>
            <w:t>ここをクリックまたはタップしてテキストを入力してください。</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TimesNewRomanPSMT">
    <w:altName w:val="Times New Roman"/>
    <w:panose1 w:val="020B0604020202020204"/>
    <w:charset w:val="00"/>
    <w:family w:val="roman"/>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014"/>
    <w:rsid w:val="001E0495"/>
    <w:rsid w:val="00792AC6"/>
    <w:rsid w:val="00BC1299"/>
    <w:rsid w:val="00C0037A"/>
    <w:rsid w:val="00CC3014"/>
    <w:rsid w:val="00FA1B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C301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11153</TotalTime>
  <Pages>19</Pages>
  <Words>2800</Words>
  <Characters>15965</Characters>
  <Application>Microsoft Office Word</Application>
  <DocSecurity>0</DocSecurity>
  <Lines>133</Lines>
  <Paragraphs>37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河原 智樹</dc:creator>
  <cp:keywords/>
  <dc:description/>
  <cp:lastModifiedBy>河原　智樹</cp:lastModifiedBy>
  <cp:revision>90</cp:revision>
  <dcterms:created xsi:type="dcterms:W3CDTF">2025-05-01T06:18:00Z</dcterms:created>
  <dcterms:modified xsi:type="dcterms:W3CDTF">2025-09-29T05:36:00Z</dcterms:modified>
</cp:coreProperties>
</file>