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Образец описания сервиса учебной поддержки</w:t>
      </w:r>
    </w:p>
    <w:p>
      <w:r>
        <w:t>Это пример результата лабораторной работы по отдельному сервису. Исходный интерфейс находится в файле index.html рядом с этим документом. Описание показывает, как связывать наблюдения с сущностями, правилами и действиями системы. Его можно использовать как образец формы, но правила сервиса поддержки не следует переносить в задачу о консультациях.</w:t>
      </w:r>
    </w:p>
    <w:p>
      <w:pPr>
        <w:pStyle w:val="Heading1"/>
      </w:pPr>
      <w:r>
        <w:t>Исходное состояние</w:t>
      </w:r>
    </w:p>
    <w:p>
      <w:r>
        <w:t>Открыта страница «Учебная поддержка». В форме есть поля «Аудитория», «Категория» и «Описание проблемы». В списке видны заявка №101 со статусом «В работе» и заявка №102 со статусом «Решена». Над списком находятся фильтры «Все», «Активные» и «Решённые».</w:t>
      </w:r>
    </w:p>
    <w:p>
      <w:pPr>
        <w:pStyle w:val="Heading1"/>
      </w:pPr>
      <w:r>
        <w:t>Запись наблюдений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0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1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8"/>
              </w:rPr>
              <w:t>Действие</w:t>
            </w:r>
          </w:p>
        </w:tc>
        <w:tc>
          <w:tcPr>
            <w:tcW w:type="dxa" w:w="34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1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8"/>
              </w:rPr>
              <w:t>Что видно после действия</w:t>
            </w:r>
          </w:p>
        </w:tc>
        <w:tc>
          <w:tcPr>
            <w:tcW w:type="dxa" w:w="37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1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8"/>
              </w:rPr>
              <w:t>Вывод и его основание</w:t>
            </w:r>
          </w:p>
        </w:tc>
      </w:tr>
      <w:tr>
        <w:tc>
          <w:tcPr>
            <w:tcW w:type="dxa" w:w="20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Открыть страницу.</w:t>
            </w:r>
          </w:p>
        </w:tc>
        <w:tc>
          <w:tcPr>
            <w:tcW w:type="dxa" w:w="34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Показаны две заявки и форма создания новой.</w:t>
            </w:r>
          </w:p>
        </w:tc>
        <w:tc>
          <w:tcPr>
            <w:tcW w:type="dxa" w:w="37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Факт интерфейса. Он не объясняет, кто меняет статусы заявок.</w:t>
            </w:r>
          </w:p>
        </w:tc>
      </w:tr>
      <w:tr>
        <w:tc>
          <w:tcPr>
            <w:tcW w:type="dxa" w:w="20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Выбрать «Решённые».</w:t>
            </w:r>
          </w:p>
        </w:tc>
        <w:tc>
          <w:tcPr>
            <w:tcW w:type="dxa" w:w="34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В списке остаётся заявка №102.</w:t>
            </w:r>
          </w:p>
        </w:tc>
        <w:tc>
          <w:tcPr>
            <w:tcW w:type="dxa" w:w="37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По результату фильтрации №102 относится к решённым.</w:t>
            </w:r>
          </w:p>
        </w:tc>
      </w:tr>
      <w:tr>
        <w:tc>
          <w:tcPr>
            <w:tcW w:type="dxa" w:w="204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Указать аудиторию 305, категорию «Сеть», описание «Нет подключения» и отправить.</w:t>
            </w:r>
          </w:p>
        </w:tc>
        <w:tc>
          <w:tcPr>
            <w:tcW w:type="dxa" w:w="340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Появляется заявка №103 со статусом «Получена». Поля аудитории и описания пусты; категория снова «Оборудование».</w:t>
            </w:r>
          </w:p>
        </w:tc>
        <w:tc>
          <w:tcPr>
            <w:tcW w:type="dxa" w:w="37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Новое обращение принято; результат подтверждён действием в интерфейсе.</w:t>
            </w:r>
          </w:p>
        </w:tc>
      </w:tr>
    </w:tbl>
    <w:p>
      <w:pPr>
        <w:spacing w:after="0"/>
      </w:pPr>
    </w:p>
    <w:p>
      <w:pPr>
        <w:pStyle w:val="Heading1"/>
      </w:pPr>
      <w:r>
        <w:t>Сущности и участники</w:t>
      </w:r>
    </w:p>
    <w:p>
      <w:r>
        <w:t>На этом уровне описываем понятия предметной области. Это ещё не проект таблиц базы данных и не перечень классов программы.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1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8"/>
              </w:rPr>
              <w:t>Понятие</w:t>
            </w:r>
          </w:p>
        </w:tc>
        <w:tc>
          <w:tcPr>
            <w:tcW w:type="dxa" w:w="45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1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8"/>
              </w:rPr>
              <w:t>Что известно</w:t>
            </w:r>
          </w:p>
        </w:tc>
        <w:tc>
          <w:tcPr>
            <w:tcW w:type="dxa" w:w="30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1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8"/>
              </w:rPr>
              <w:t>Граница знания</w:t>
            </w:r>
          </w:p>
        </w:tc>
      </w:tr>
      <w:tr>
        <w:tc>
          <w:tcPr>
            <w:tcW w:type="dxa" w:w="170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Заявка</w:t>
            </w:r>
          </w:p>
        </w:tc>
        <w:tc>
          <w:tcPr>
            <w:tcW w:type="dxa" w:w="45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Имеет номер, аудиторию, категорию, описание проблемы и статус. Создаётся при отправке формы.</w:t>
            </w:r>
          </w:p>
        </w:tc>
        <w:tc>
          <w:tcPr>
            <w:tcW w:type="dxa" w:w="30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Поля и создание видны в интерфейсе. Неизвестно, кто и когда меняет статус.</w:t>
            </w:r>
          </w:p>
        </w:tc>
      </w:tr>
      <w:tr>
        <w:tc>
          <w:tcPr>
            <w:tcW w:type="dxa" w:w="170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Студент</w:t>
            </w:r>
          </w:p>
        </w:tc>
        <w:tc>
          <w:tcPr>
            <w:tcW w:type="dxa" w:w="45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Действует через личный кабинет; раздел называется «Мои заявки».</w:t>
            </w:r>
          </w:p>
        </w:tc>
        <w:tc>
          <w:tcPr>
            <w:tcW w:type="dxa" w:w="30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Связь конкретных заявок со студентом предполагается по интерфейсу, но здесь не проверена.</w:t>
            </w:r>
          </w:p>
        </w:tc>
      </w:tr>
      <w:tr>
        <w:tc>
          <w:tcPr>
            <w:tcW w:type="dxa" w:w="170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Аудитория и категория</w:t>
            </w:r>
          </w:p>
        </w:tc>
        <w:tc>
          <w:tcPr>
            <w:tcW w:type="dxa" w:w="453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Это данные заявки: аудитория вводится, категория выбирается из списка.</w:t>
            </w:r>
          </w:p>
        </w:tc>
        <w:tc>
          <w:tcPr>
            <w:tcW w:type="dxa" w:w="30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Пока нет оснований выделять их в самостоятельные объекты с собственными правилами.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Логика действий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47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1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8"/>
              </w:rPr>
              <w:t>Действие</w:t>
            </w:r>
          </w:p>
        </w:tc>
        <w:tc>
          <w:tcPr>
            <w:tcW w:type="dxa" w:w="23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1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8"/>
              </w:rPr>
              <w:t>Условие и входные данные</w:t>
            </w:r>
          </w:p>
        </w:tc>
        <w:tc>
          <w:tcPr>
            <w:tcW w:type="dxa" w:w="37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1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8"/>
              </w:rPr>
              <w:t>Результат</w:t>
            </w:r>
          </w:p>
        </w:tc>
        <w:tc>
          <w:tcPr>
            <w:tcW w:type="dxa" w:w="170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FEAF1"/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8"/>
              </w:rPr>
              <w:t>Основание</w:t>
            </w:r>
          </w:p>
        </w:tc>
      </w:tr>
      <w:tr>
        <w:tc>
          <w:tcPr>
            <w:tcW w:type="dxa" w:w="147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Отправить заявку</w:t>
            </w:r>
          </w:p>
        </w:tc>
        <w:tc>
          <w:tcPr>
            <w:tcW w:type="dxa" w:w="23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Указаны аудитория и описание; категория выбрана из списка.</w:t>
            </w:r>
          </w:p>
        </w:tc>
        <w:tc>
          <w:tcPr>
            <w:tcW w:type="dxa" w:w="37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Создаётся заявка с очередным номером и статусом «Получена». Она появляется в общем списке. Поля аудитории и описания очищаются, категория возвращается к «Оборудование».</w:t>
            </w:r>
          </w:p>
        </w:tc>
        <w:tc>
          <w:tcPr>
            <w:tcW w:type="dxa" w:w="170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Отметки обязательных полей; отправка заявки №103.</w:t>
            </w:r>
          </w:p>
        </w:tc>
      </w:tr>
      <w:tr>
        <w:tc>
          <w:tcPr>
            <w:tcW w:type="dxa" w:w="147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Выбрать фильтр</w:t>
            </w:r>
          </w:p>
        </w:tc>
        <w:tc>
          <w:tcPr>
            <w:tcW w:type="dxa" w:w="23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Выбран один из вариантов: «Все», «Активные», «Решённые».</w:t>
            </w:r>
          </w:p>
        </w:tc>
        <w:tc>
          <w:tcPr>
            <w:tcW w:type="dxa" w:w="37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Меняется состав видимого списка. «Активные» включает «Получена» и «В работе»; «Решённые» — «Решена». Сами заявки не меняются.</w:t>
            </w:r>
          </w:p>
        </w:tc>
        <w:tc>
          <w:tcPr>
            <w:tcW w:type="dxa" w:w="170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Сравнение списков после переключения.</w:t>
            </w:r>
          </w:p>
        </w:tc>
      </w:tr>
    </w:tbl>
    <w:p>
      <w:pPr>
        <w:spacing w:after="0"/>
      </w:pPr>
    </w:p>
    <w:p>
      <w:r>
        <w:t>Переходы между статусами «Получена», «В работе» и «Решена» здесь не описаны как действия студента: соответствующего управления в его интерфейсе нет.</w:t>
      </w:r>
    </w:p>
    <w:p>
      <w:pPr>
        <w:pStyle w:val="Heading1"/>
      </w:pPr>
      <w:r>
        <w:t>Проверяемые сценарии</w:t>
      </w:r>
    </w:p>
    <w:p>
      <w:r>
        <w:rPr>
          <w:b/>
        </w:rPr>
        <w:t xml:space="preserve">Сценарий 1. </w:t>
      </w:r>
      <w:r>
        <w:t>Дано: видны заявки №101 и №102. Когда: студент отправляет заявку по аудитории 305 с описанием «Нет подключения». Тогда: в списке появляется заявка №103 со статусом «Получена».</w:t>
      </w:r>
    </w:p>
    <w:p>
      <w:r>
        <w:rPr>
          <w:b/>
        </w:rPr>
        <w:t xml:space="preserve">Сценарий 2. </w:t>
      </w:r>
      <w:r>
        <w:t>Дано: есть заявки «В работе» и «Решена». Когда: студент выбирает фильтр «Решённые». Тогда: остаётся только заявка со статусом «Решена».</w:t>
      </w:r>
    </w:p>
    <w:p>
      <w:pPr>
        <w:pStyle w:val="Heading1"/>
      </w:pPr>
      <w:r>
        <w:t>Что пока не установлено</w:t>
      </w:r>
    </w:p>
    <w:p>
      <w:r>
        <w:t>Интерфейс студента не показывает, кто переводит заявку из состояния «Получена» в «В работе» и затем в «Решена». Также неясно, получают ли сотрудники уведомление о новой заявке и можно ли изменить уже отправленное описание. Отсутствие кнопки на этой странице не доказывает, что такого действия нет в системе: это вопросы к заказчику или владельцу процесса.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