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8ABDD" w14:textId="5BE651B7" w:rsidR="00592E9C" w:rsidRPr="00592E9C" w:rsidRDefault="00592E9C" w:rsidP="00592E9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72B4D"/>
          <w:sz w:val="21"/>
          <w:szCs w:val="21"/>
        </w:rPr>
      </w:pPr>
      <w:r w:rsidRPr="00592E9C">
        <w:rPr>
          <w:rFonts w:asciiTheme="majorHAnsi" w:eastAsia="Times New Roman" w:hAnsiTheme="majorHAnsi" w:cstheme="majorHAnsi"/>
          <w:b/>
          <w:bCs/>
          <w:color w:val="172B4D"/>
          <w:sz w:val="21"/>
          <w:szCs w:val="21"/>
        </w:rPr>
        <w:t>TP ICAP</w:t>
      </w:r>
      <w:r w:rsidRPr="00592E9C">
        <w:rPr>
          <w:rFonts w:asciiTheme="majorHAnsi" w:eastAsia="Times New Roman" w:hAnsiTheme="majorHAnsi" w:cstheme="majorHAnsi"/>
          <w:color w:val="172B4D"/>
          <w:sz w:val="21"/>
          <w:szCs w:val="21"/>
        </w:rPr>
        <w:br/>
      </w:r>
      <w:r w:rsidRPr="00592E9C">
        <w:rPr>
          <w:rFonts w:asciiTheme="majorHAnsi" w:eastAsia="Times New Roman" w:hAnsiTheme="majorHAnsi" w:cstheme="majorHAnsi"/>
          <w:b/>
          <w:bCs/>
          <w:color w:val="403152"/>
          <w:sz w:val="21"/>
          <w:szCs w:val="21"/>
        </w:rPr>
        <w:t>Information Technology: Platform Services</w:t>
      </w:r>
      <w:r w:rsidRPr="00592E9C">
        <w:rPr>
          <w:rFonts w:asciiTheme="majorHAnsi" w:eastAsia="Times New Roman" w:hAnsiTheme="majorHAnsi" w:cstheme="majorHAnsi"/>
          <w:color w:val="172B4D"/>
          <w:sz w:val="21"/>
          <w:szCs w:val="21"/>
        </w:rPr>
        <w:br/>
      </w:r>
      <w:r w:rsidRPr="00592E9C">
        <w:rPr>
          <w:rFonts w:asciiTheme="majorHAnsi" w:eastAsia="Times New Roman" w:hAnsiTheme="majorHAnsi" w:cstheme="majorHAnsi"/>
          <w:color w:val="172B4D"/>
          <w:sz w:val="21"/>
          <w:szCs w:val="21"/>
        </w:rPr>
        <w:br/>
      </w:r>
      <w:r w:rsidRPr="00592E9C">
        <w:rPr>
          <w:rFonts w:asciiTheme="majorHAnsi" w:eastAsia="Times New Roman" w:hAnsiTheme="majorHAnsi" w:cstheme="majorHAnsi"/>
          <w:color w:val="172B4D"/>
          <w:sz w:val="21"/>
          <w:szCs w:val="21"/>
        </w:rPr>
        <w:br/>
      </w:r>
      <w:r w:rsidRPr="00592E9C">
        <w:rPr>
          <w:rFonts w:asciiTheme="majorHAnsi" w:eastAsia="Times New Roman" w:hAnsiTheme="majorHAnsi" w:cstheme="majorHAnsi"/>
          <w:b/>
          <w:bCs/>
          <w:color w:val="24405C"/>
          <w:sz w:val="21"/>
          <w:szCs w:val="21"/>
        </w:rPr>
        <w:t>Patching Qualys Checks</w:t>
      </w:r>
      <w:r w:rsidRPr="00592E9C">
        <w:rPr>
          <w:rFonts w:asciiTheme="majorHAnsi" w:eastAsia="Times New Roman" w:hAnsiTheme="majorHAnsi" w:cstheme="majorHAnsi"/>
          <w:color w:val="172B4D"/>
          <w:sz w:val="21"/>
          <w:szCs w:val="21"/>
        </w:rPr>
        <w:br/>
      </w:r>
      <w:r w:rsidRPr="00592E9C">
        <w:rPr>
          <w:rFonts w:asciiTheme="majorHAnsi" w:eastAsia="Times New Roman" w:hAnsiTheme="majorHAnsi" w:cstheme="majorHAnsi"/>
          <w:b/>
          <w:bCs/>
          <w:color w:val="403152"/>
          <w:sz w:val="21"/>
          <w:szCs w:val="21"/>
        </w:rPr>
        <w:t>Version 1.0</w:t>
      </w:r>
      <w:r w:rsidRPr="00592E9C">
        <w:rPr>
          <w:rFonts w:asciiTheme="majorHAnsi" w:eastAsia="Times New Roman" w:hAnsiTheme="majorHAnsi" w:cstheme="majorHAnsi"/>
          <w:color w:val="172B4D"/>
          <w:sz w:val="21"/>
          <w:szCs w:val="21"/>
        </w:rPr>
        <w:t> </w:t>
      </w:r>
    </w:p>
    <w:p w14:paraId="2D4178A0" w14:textId="09EE9862" w:rsidR="00592E9C" w:rsidRPr="00592E9C" w:rsidRDefault="00592E9C" w:rsidP="00592E9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72B4D"/>
          <w:sz w:val="21"/>
          <w:szCs w:val="21"/>
        </w:rPr>
      </w:pPr>
      <w:r w:rsidRPr="00592E9C">
        <w:rPr>
          <w:rFonts w:asciiTheme="majorHAnsi" w:eastAsia="Times New Roman" w:hAnsiTheme="majorHAnsi" w:cstheme="majorHAnsi"/>
          <w:b/>
          <w:bCs/>
          <w:color w:val="403152"/>
          <w:sz w:val="21"/>
          <w:szCs w:val="21"/>
        </w:rPr>
        <w:t>TP ICAP Classification:</w:t>
      </w:r>
      <w:r w:rsidRPr="00592E9C">
        <w:rPr>
          <w:rFonts w:asciiTheme="majorHAnsi" w:eastAsia="Times New Roman" w:hAnsiTheme="majorHAnsi" w:cstheme="majorHAnsi"/>
          <w:color w:val="172B4D"/>
          <w:sz w:val="21"/>
          <w:szCs w:val="21"/>
        </w:rPr>
        <w:t> </w:t>
      </w:r>
      <w:r w:rsidRPr="00592E9C">
        <w:rPr>
          <w:rFonts w:asciiTheme="majorHAnsi" w:eastAsia="Times New Roman" w:hAnsiTheme="majorHAnsi" w:cstheme="majorHAnsi"/>
          <w:b/>
          <w:bCs/>
          <w:color w:val="76923C"/>
          <w:sz w:val="21"/>
          <w:szCs w:val="21"/>
        </w:rPr>
        <w:t>Internal</w:t>
      </w:r>
      <w:r w:rsidRPr="00592E9C">
        <w:rPr>
          <w:rFonts w:asciiTheme="majorHAnsi" w:eastAsia="Times New Roman" w:hAnsiTheme="majorHAnsi" w:cstheme="majorHAnsi"/>
          <w:color w:val="172B4D"/>
          <w:sz w:val="21"/>
          <w:szCs w:val="21"/>
        </w:rPr>
        <w:br/>
      </w:r>
      <w:r w:rsidRPr="00592E9C">
        <w:rPr>
          <w:rFonts w:asciiTheme="majorHAnsi" w:eastAsia="Times New Roman" w:hAnsiTheme="majorHAnsi" w:cstheme="majorHAnsi"/>
          <w:color w:val="172B4D"/>
          <w:sz w:val="21"/>
          <w:szCs w:val="21"/>
        </w:rPr>
        <w:br/>
      </w:r>
      <w:r w:rsidRPr="00592E9C">
        <w:rPr>
          <w:rFonts w:asciiTheme="majorHAnsi" w:eastAsia="Times New Roman" w:hAnsiTheme="majorHAnsi" w:cstheme="majorHAnsi"/>
          <w:color w:val="172B4D"/>
          <w:sz w:val="21"/>
          <w:szCs w:val="21"/>
        </w:rPr>
        <w:br/>
      </w:r>
      <w:r w:rsidRPr="00592E9C">
        <w:rPr>
          <w:rFonts w:asciiTheme="majorHAnsi" w:eastAsia="Times New Roman" w:hAnsiTheme="majorHAnsi" w:cstheme="majorHAnsi"/>
          <w:color w:val="172B4D"/>
          <w:sz w:val="21"/>
          <w:szCs w:val="21"/>
        </w:rPr>
        <w:br/>
      </w:r>
      <w:r w:rsidRPr="00592E9C">
        <w:rPr>
          <w:rFonts w:asciiTheme="majorHAnsi" w:eastAsia="Times New Roman" w:hAnsiTheme="majorHAnsi" w:cstheme="majorHAnsi"/>
          <w:b/>
          <w:bCs/>
          <w:color w:val="24405C"/>
          <w:sz w:val="21"/>
          <w:szCs w:val="21"/>
        </w:rPr>
        <w:t>Document History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1403"/>
        <w:gridCol w:w="2295"/>
        <w:gridCol w:w="1236"/>
        <w:gridCol w:w="2117"/>
      </w:tblGrid>
      <w:tr w:rsidR="00592E9C" w:rsidRPr="00592E9C" w14:paraId="6DADDF0B" w14:textId="77777777" w:rsidTr="00592E9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BD520A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012126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618EA4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Who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A9E944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Reviewed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66BEAD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Location</w:t>
            </w:r>
          </w:p>
        </w:tc>
      </w:tr>
      <w:tr w:rsidR="00592E9C" w:rsidRPr="00592E9C" w14:paraId="5D94966D" w14:textId="77777777" w:rsidTr="00592E9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528DED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1B8A59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975C96" w14:textId="2C0458A5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sz w:val="24"/>
                <w:szCs w:val="24"/>
              </w:rPr>
              <w:t>Dennis Jeffrey Flores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C7C1D4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63CBF7" w14:textId="053C9AB0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sz w:val="24"/>
                <w:szCs w:val="24"/>
              </w:rPr>
              <w:t>Manila, Philippines</w:t>
            </w:r>
          </w:p>
        </w:tc>
      </w:tr>
    </w:tbl>
    <w:p w14:paraId="285BA951" w14:textId="77777777" w:rsidR="00592E9C" w:rsidRPr="00592E9C" w:rsidRDefault="00592E9C" w:rsidP="00592E9C">
      <w:pPr>
        <w:shd w:val="clear" w:color="auto" w:fill="FFFFFF"/>
        <w:spacing w:before="150" w:after="0" w:line="240" w:lineRule="auto"/>
        <w:rPr>
          <w:rFonts w:asciiTheme="majorHAnsi" w:eastAsia="Times New Roman" w:hAnsiTheme="majorHAnsi" w:cstheme="majorHAnsi"/>
          <w:color w:val="172B4D"/>
          <w:sz w:val="21"/>
          <w:szCs w:val="21"/>
        </w:rPr>
      </w:pPr>
      <w:r w:rsidRPr="00592E9C">
        <w:rPr>
          <w:rFonts w:asciiTheme="majorHAnsi" w:eastAsia="Times New Roman" w:hAnsiTheme="majorHAnsi" w:cstheme="majorHAnsi"/>
          <w:color w:val="172B4D"/>
          <w:sz w:val="21"/>
          <w:szCs w:val="21"/>
        </w:rPr>
        <w:br/>
      </w:r>
      <w:r w:rsidRPr="00592E9C">
        <w:rPr>
          <w:rFonts w:asciiTheme="majorHAnsi" w:eastAsia="Times New Roman" w:hAnsiTheme="majorHAnsi" w:cstheme="majorHAnsi"/>
          <w:b/>
          <w:bCs/>
          <w:color w:val="24405C"/>
          <w:sz w:val="21"/>
          <w:szCs w:val="21"/>
        </w:rPr>
        <w:t>Document Owner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3297"/>
        <w:gridCol w:w="940"/>
      </w:tblGrid>
      <w:tr w:rsidR="00592E9C" w:rsidRPr="00592E9C" w14:paraId="6F66B1D7" w14:textId="77777777" w:rsidTr="00592E9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7B5A78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4AA9D4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Job title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61E3A3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Team</w:t>
            </w:r>
          </w:p>
        </w:tc>
      </w:tr>
      <w:tr w:rsidR="00592E9C" w:rsidRPr="00592E9C" w14:paraId="384A62DF" w14:textId="77777777" w:rsidTr="00592E9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C165D6" w14:textId="7FC19211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sz w:val="24"/>
                <w:szCs w:val="24"/>
              </w:rPr>
              <w:t>Harjot Kandola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6CAFC4" w14:textId="59FE9996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sz w:val="24"/>
                <w:szCs w:val="24"/>
              </w:rPr>
              <w:t>Global Head Wintel Operations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9FB0B1" w14:textId="000DA604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sz w:val="24"/>
                <w:szCs w:val="24"/>
              </w:rPr>
              <w:t>Wintel</w:t>
            </w:r>
          </w:p>
        </w:tc>
      </w:tr>
    </w:tbl>
    <w:p w14:paraId="18BFE67F" w14:textId="52A59738" w:rsidR="00592E9C" w:rsidRPr="00592E9C" w:rsidRDefault="00592E9C" w:rsidP="00592E9C">
      <w:pPr>
        <w:shd w:val="clear" w:color="auto" w:fill="FFFFFF"/>
        <w:spacing w:before="150" w:after="0" w:line="240" w:lineRule="auto"/>
        <w:rPr>
          <w:rFonts w:asciiTheme="majorHAnsi" w:eastAsia="Times New Roman" w:hAnsiTheme="majorHAnsi" w:cstheme="majorHAnsi"/>
          <w:color w:val="172B4D"/>
          <w:sz w:val="21"/>
          <w:szCs w:val="21"/>
        </w:rPr>
      </w:pPr>
      <w:r w:rsidRPr="00592E9C">
        <w:rPr>
          <w:rFonts w:asciiTheme="majorHAnsi" w:eastAsia="Times New Roman" w:hAnsiTheme="majorHAnsi" w:cstheme="majorHAnsi"/>
          <w:color w:val="172B4D"/>
          <w:sz w:val="21"/>
          <w:szCs w:val="21"/>
        </w:rPr>
        <w:br/>
      </w:r>
      <w:r w:rsidRPr="00592E9C">
        <w:rPr>
          <w:rFonts w:asciiTheme="majorHAnsi" w:eastAsia="Times New Roman" w:hAnsiTheme="majorHAnsi" w:cstheme="majorHAnsi"/>
          <w:b/>
          <w:bCs/>
          <w:color w:val="24405C"/>
          <w:sz w:val="21"/>
          <w:szCs w:val="21"/>
        </w:rPr>
        <w:t>Author/Contributors</w:t>
      </w:r>
      <w:r w:rsidRPr="00592E9C">
        <w:rPr>
          <w:rFonts w:asciiTheme="majorHAnsi" w:eastAsia="Times New Roman" w:hAnsiTheme="majorHAnsi" w:cstheme="majorHAnsi"/>
          <w:color w:val="172B4D"/>
          <w:sz w:val="21"/>
          <w:szCs w:val="21"/>
        </w:rPr>
        <w:br/>
        <w:t xml:space="preserve">This version of the document </w:t>
      </w:r>
      <w:r w:rsidR="00620AF9">
        <w:rPr>
          <w:rFonts w:asciiTheme="majorHAnsi" w:eastAsia="Times New Roman" w:hAnsiTheme="majorHAnsi" w:cstheme="majorHAnsi"/>
          <w:color w:val="172B4D"/>
          <w:sz w:val="21"/>
          <w:szCs w:val="21"/>
        </w:rPr>
        <w:t xml:space="preserve">was </w:t>
      </w:r>
      <w:r w:rsidRPr="00592E9C">
        <w:rPr>
          <w:rFonts w:asciiTheme="majorHAnsi" w:eastAsia="Times New Roman" w:hAnsiTheme="majorHAnsi" w:cstheme="majorHAnsi"/>
          <w:color w:val="172B4D"/>
          <w:sz w:val="21"/>
          <w:szCs w:val="21"/>
        </w:rPr>
        <w:t>written and approved by</w:t>
      </w:r>
    </w:p>
    <w:p w14:paraId="14FA55AE" w14:textId="77777777" w:rsidR="00592E9C" w:rsidRPr="00592E9C" w:rsidRDefault="00592E9C" w:rsidP="00592E9C">
      <w:pPr>
        <w:shd w:val="clear" w:color="auto" w:fill="FFFFFF"/>
        <w:spacing w:before="150" w:after="0" w:line="240" w:lineRule="auto"/>
        <w:rPr>
          <w:rFonts w:asciiTheme="majorHAnsi" w:eastAsia="Times New Roman" w:hAnsiTheme="majorHAnsi" w:cstheme="majorHAnsi"/>
          <w:color w:val="172B4D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435"/>
        <w:gridCol w:w="1713"/>
        <w:gridCol w:w="1582"/>
        <w:gridCol w:w="1326"/>
        <w:gridCol w:w="1512"/>
      </w:tblGrid>
      <w:tr w:rsidR="00592E9C" w:rsidRPr="00592E9C" w14:paraId="7AD7BB1B" w14:textId="77777777" w:rsidTr="00592E9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B5A8E2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1CDA8A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b/>
                <w:bCs/>
                <w:color w:val="403152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F8C44F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b/>
                <w:bCs/>
                <w:color w:val="403152"/>
                <w:sz w:val="24"/>
                <w:szCs w:val="24"/>
              </w:rPr>
              <w:t>Job title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90055B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b/>
                <w:bCs/>
                <w:color w:val="403152"/>
                <w:sz w:val="24"/>
                <w:szCs w:val="24"/>
              </w:rPr>
              <w:t>Sections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2A5B2A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b/>
                <w:bCs/>
                <w:color w:val="403152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F80B56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b/>
                <w:bCs/>
                <w:color w:val="403152"/>
                <w:sz w:val="24"/>
                <w:szCs w:val="24"/>
              </w:rPr>
              <w:t>Evidence of Approval</w:t>
            </w:r>
          </w:p>
        </w:tc>
      </w:tr>
      <w:tr w:rsidR="00592E9C" w:rsidRPr="00592E9C" w14:paraId="60C79108" w14:textId="77777777" w:rsidTr="00592E9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31E4FB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2A59DC" w14:textId="1131A5DE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sz w:val="24"/>
                <w:szCs w:val="24"/>
              </w:rPr>
              <w:t>Dennis Jeffrey Flores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C61D3F" w14:textId="762AD76B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sz w:val="24"/>
                <w:szCs w:val="24"/>
              </w:rPr>
              <w:t>Wintel Team Lead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5CC8EF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sz w:val="24"/>
                <w:szCs w:val="24"/>
              </w:rPr>
              <w:t>Complete document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956ADE" w14:textId="4BAEE1C2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sz w:val="24"/>
                <w:szCs w:val="24"/>
              </w:rPr>
              <w:t>5/24/2023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318BA9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sz w:val="24"/>
                <w:szCs w:val="24"/>
              </w:rPr>
              <w:t>EMAIL</w:t>
            </w:r>
          </w:p>
        </w:tc>
      </w:tr>
      <w:tr w:rsidR="00592E9C" w:rsidRPr="00592E9C" w14:paraId="333D9F3E" w14:textId="77777777" w:rsidTr="00592E9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13DA6A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Contributors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AEEDAD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E0BF2B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12ACBC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799984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03220A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592E9C" w:rsidRPr="00592E9C" w14:paraId="0B59DC2C" w14:textId="77777777" w:rsidTr="00592E9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12DD8C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Review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CA1D67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sz w:val="24"/>
                <w:szCs w:val="24"/>
              </w:rPr>
              <w:t>Harjot Kandola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D6AE38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sz w:val="24"/>
                <w:szCs w:val="24"/>
              </w:rPr>
              <w:t>Global Head of Wintel Support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E65DDB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AB6748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A6355C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sz w:val="24"/>
                <w:szCs w:val="24"/>
              </w:rPr>
              <w:t>EMAIL</w:t>
            </w:r>
          </w:p>
        </w:tc>
      </w:tr>
      <w:tr w:rsidR="00592E9C" w:rsidRPr="00592E9C" w14:paraId="37A3A035" w14:textId="77777777" w:rsidTr="00592E9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603DFB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Other reviewers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36904A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4A3303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93C28C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9B4124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1EB21B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592E9C" w:rsidRPr="00592E9C" w14:paraId="289E4FAA" w14:textId="77777777" w:rsidTr="00592E9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45F3DD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Approved Granted by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A91A42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sz w:val="24"/>
                <w:szCs w:val="24"/>
              </w:rPr>
              <w:t>Harjot Kandola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613FED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sz w:val="24"/>
                <w:szCs w:val="24"/>
              </w:rPr>
              <w:t>Global Head of Wintel Support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DE3ACA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825377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C8CE46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5C62E687" w14:textId="77777777" w:rsidR="00592E9C" w:rsidRPr="00592E9C" w:rsidRDefault="00592E9C" w:rsidP="00592E9C">
      <w:pPr>
        <w:shd w:val="clear" w:color="auto" w:fill="FFFFFF"/>
        <w:spacing w:before="150" w:after="0" w:line="240" w:lineRule="auto"/>
        <w:rPr>
          <w:rFonts w:asciiTheme="majorHAnsi" w:eastAsia="Times New Roman" w:hAnsiTheme="majorHAnsi" w:cstheme="majorHAnsi"/>
          <w:color w:val="172B4D"/>
          <w:sz w:val="21"/>
          <w:szCs w:val="21"/>
        </w:rPr>
      </w:pPr>
      <w:r w:rsidRPr="00592E9C">
        <w:rPr>
          <w:rFonts w:asciiTheme="majorHAnsi" w:eastAsia="Times New Roman" w:hAnsiTheme="majorHAnsi" w:cstheme="majorHAnsi"/>
          <w:color w:val="172B4D"/>
          <w:sz w:val="21"/>
          <w:szCs w:val="21"/>
        </w:rPr>
        <w:lastRenderedPageBreak/>
        <w:br/>
      </w:r>
      <w:r w:rsidRPr="00592E9C">
        <w:rPr>
          <w:rFonts w:asciiTheme="majorHAnsi" w:eastAsia="Times New Roman" w:hAnsiTheme="majorHAnsi" w:cstheme="majorHAnsi"/>
          <w:b/>
          <w:bCs/>
          <w:color w:val="24405C"/>
          <w:sz w:val="21"/>
          <w:szCs w:val="21"/>
        </w:rPr>
        <w:t>Review Period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3"/>
        <w:gridCol w:w="2009"/>
      </w:tblGrid>
      <w:tr w:rsidR="00592E9C" w:rsidRPr="00592E9C" w14:paraId="19C8CDCF" w14:textId="77777777" w:rsidTr="00592E9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32A49B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Review Period / Cycle (months)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E1A6CD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Next Review Date</w:t>
            </w:r>
          </w:p>
        </w:tc>
      </w:tr>
      <w:tr w:rsidR="00592E9C" w:rsidRPr="00592E9C" w14:paraId="39A6BB14" w14:textId="77777777" w:rsidTr="00592E9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8C2EAD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sz w:val="24"/>
                <w:szCs w:val="24"/>
              </w:rPr>
              <w:t>12 months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E790B1" w14:textId="4DC8909D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sz w:val="24"/>
                <w:szCs w:val="24"/>
              </w:rPr>
              <w:t> May 2024</w:t>
            </w:r>
          </w:p>
        </w:tc>
      </w:tr>
    </w:tbl>
    <w:p w14:paraId="4C63D3DE" w14:textId="77777777" w:rsidR="00592E9C" w:rsidRPr="00592E9C" w:rsidRDefault="00592E9C" w:rsidP="00592E9C">
      <w:pPr>
        <w:shd w:val="clear" w:color="auto" w:fill="FFFFFF"/>
        <w:spacing w:before="150" w:after="0" w:line="240" w:lineRule="auto"/>
        <w:rPr>
          <w:rFonts w:asciiTheme="majorHAnsi" w:eastAsia="Times New Roman" w:hAnsiTheme="majorHAnsi" w:cstheme="majorHAnsi"/>
          <w:color w:val="172B4D"/>
          <w:sz w:val="21"/>
          <w:szCs w:val="21"/>
        </w:rPr>
      </w:pPr>
      <w:r w:rsidRPr="00592E9C">
        <w:rPr>
          <w:rFonts w:asciiTheme="majorHAnsi" w:eastAsia="Times New Roman" w:hAnsiTheme="majorHAnsi" w:cstheme="majorHAnsi"/>
          <w:color w:val="172B4D"/>
          <w:sz w:val="21"/>
          <w:szCs w:val="21"/>
        </w:rPr>
        <w:br/>
      </w:r>
      <w:r w:rsidRPr="00592E9C">
        <w:rPr>
          <w:rFonts w:asciiTheme="majorHAnsi" w:eastAsia="Times New Roman" w:hAnsiTheme="majorHAnsi" w:cstheme="majorHAnsi"/>
          <w:b/>
          <w:bCs/>
          <w:color w:val="24405C"/>
          <w:sz w:val="21"/>
          <w:szCs w:val="21"/>
        </w:rPr>
        <w:t>Distribution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2065"/>
        <w:gridCol w:w="1551"/>
        <w:gridCol w:w="1702"/>
      </w:tblGrid>
      <w:tr w:rsidR="00592E9C" w:rsidRPr="00592E9C" w14:paraId="20C3F230" w14:textId="77777777" w:rsidTr="00592E9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C3D12E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3C89E8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836BF7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Date of Issue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D19EBF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Date reviewed</w:t>
            </w:r>
          </w:p>
        </w:tc>
      </w:tr>
      <w:tr w:rsidR="00592E9C" w:rsidRPr="00592E9C" w14:paraId="013D0C7D" w14:textId="77777777" w:rsidTr="00592E9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2ED07D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sz w:val="24"/>
                <w:szCs w:val="24"/>
              </w:rPr>
              <w:t>Wintel Operations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0115F6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sz w:val="24"/>
                <w:szCs w:val="24"/>
              </w:rPr>
              <w:t>Wintel Operations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B4744D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DEAA6E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1E14D8AD" w14:textId="77777777" w:rsidR="00592E9C" w:rsidRPr="00592E9C" w:rsidRDefault="00592E9C" w:rsidP="00592E9C">
      <w:pPr>
        <w:shd w:val="clear" w:color="auto" w:fill="FFFFFF"/>
        <w:spacing w:before="150" w:after="0" w:line="240" w:lineRule="auto"/>
        <w:rPr>
          <w:rFonts w:asciiTheme="majorHAnsi" w:eastAsia="Times New Roman" w:hAnsiTheme="majorHAnsi" w:cstheme="majorHAnsi"/>
          <w:color w:val="172B4D"/>
          <w:sz w:val="21"/>
          <w:szCs w:val="21"/>
        </w:rPr>
      </w:pPr>
    </w:p>
    <w:p w14:paraId="20C92058" w14:textId="77777777" w:rsidR="00592E9C" w:rsidRPr="00592E9C" w:rsidRDefault="00592E9C" w:rsidP="00592E9C">
      <w:pPr>
        <w:shd w:val="clear" w:color="auto" w:fill="FFFFFF"/>
        <w:spacing w:before="150" w:after="0" w:line="240" w:lineRule="auto"/>
        <w:rPr>
          <w:rFonts w:asciiTheme="majorHAnsi" w:eastAsia="Times New Roman" w:hAnsiTheme="majorHAnsi" w:cstheme="majorHAnsi"/>
          <w:color w:val="172B4D"/>
          <w:sz w:val="21"/>
          <w:szCs w:val="21"/>
        </w:rPr>
      </w:pPr>
      <w:r w:rsidRPr="00592E9C">
        <w:rPr>
          <w:rFonts w:asciiTheme="majorHAnsi" w:eastAsia="Times New Roman" w:hAnsiTheme="majorHAnsi" w:cstheme="majorHAnsi"/>
          <w:b/>
          <w:bCs/>
          <w:color w:val="24405C"/>
          <w:sz w:val="21"/>
          <w:szCs w:val="21"/>
        </w:rPr>
        <w:t>Document Security:</w:t>
      </w:r>
      <w:r w:rsidRPr="00592E9C">
        <w:rPr>
          <w:rFonts w:asciiTheme="majorHAnsi" w:eastAsia="Times New Roman" w:hAnsiTheme="majorHAnsi" w:cstheme="majorHAnsi"/>
          <w:color w:val="172B4D"/>
          <w:sz w:val="21"/>
          <w:szCs w:val="21"/>
        </w:rPr>
        <w:t> </w:t>
      </w:r>
      <w:r w:rsidRPr="00592E9C">
        <w:rPr>
          <w:rFonts w:asciiTheme="majorHAnsi" w:eastAsia="Times New Roman" w:hAnsiTheme="majorHAnsi" w:cstheme="majorHAnsi"/>
          <w:b/>
          <w:bCs/>
          <w:color w:val="76923C"/>
          <w:sz w:val="21"/>
          <w:szCs w:val="21"/>
        </w:rPr>
        <w:t>Internal</w:t>
      </w:r>
    </w:p>
    <w:p w14:paraId="79B8D529" w14:textId="0F17B409" w:rsidR="003C5051" w:rsidRPr="00592E9C" w:rsidRDefault="003C5051">
      <w:pPr>
        <w:rPr>
          <w:rFonts w:asciiTheme="majorHAnsi" w:hAnsiTheme="majorHAnsi" w:cstheme="majorHAnsi"/>
        </w:rPr>
      </w:pPr>
    </w:p>
    <w:p w14:paraId="1B62679B" w14:textId="3FA639FD" w:rsidR="00592E9C" w:rsidRPr="00592E9C" w:rsidRDefault="00592E9C">
      <w:pPr>
        <w:rPr>
          <w:rFonts w:asciiTheme="majorHAnsi" w:hAnsiTheme="majorHAnsi" w:cstheme="majorHAnsi"/>
          <w:b/>
          <w:bCs/>
        </w:rPr>
      </w:pPr>
      <w:r w:rsidRPr="00592E9C">
        <w:rPr>
          <w:rFonts w:asciiTheme="majorHAnsi" w:hAnsiTheme="majorHAnsi" w:cstheme="majorHAnsi"/>
          <w:b/>
          <w:bCs/>
        </w:rPr>
        <w:t>Introduction</w:t>
      </w:r>
    </w:p>
    <w:p w14:paraId="670B7D51" w14:textId="288715AC" w:rsidR="00592E9C" w:rsidRPr="00592E9C" w:rsidRDefault="00592E9C" w:rsidP="00592E9C">
      <w:pPr>
        <w:ind w:firstLine="720"/>
        <w:rPr>
          <w:rFonts w:asciiTheme="majorHAnsi" w:hAnsiTheme="majorHAnsi" w:cstheme="majorHAnsi"/>
        </w:rPr>
      </w:pPr>
      <w:r w:rsidRPr="00592E9C">
        <w:rPr>
          <w:rFonts w:asciiTheme="majorHAnsi" w:hAnsiTheme="majorHAnsi" w:cstheme="majorHAnsi"/>
        </w:rPr>
        <w:t>Patching is critical for fixing software vulnerabilities. It's equally important to confirm these patches are successful. We use Qualys, a third-party tool, to scan for vulnerabilities and verify our patching efforts. This allows us to identify and address any remaining server vulnerabilities after a patching cycle. Through this process, we uphold our commitment to the highest level of security.</w:t>
      </w:r>
    </w:p>
    <w:p w14:paraId="540356F4" w14:textId="50DD27FB" w:rsidR="00592E9C" w:rsidRPr="00592E9C" w:rsidRDefault="00592E9C">
      <w:pPr>
        <w:rPr>
          <w:rFonts w:asciiTheme="majorHAnsi" w:hAnsiTheme="majorHAnsi" w:cstheme="majorHAnsi"/>
          <w:b/>
          <w:bCs/>
        </w:rPr>
      </w:pPr>
      <w:r w:rsidRPr="00592E9C">
        <w:rPr>
          <w:rFonts w:asciiTheme="majorHAnsi" w:hAnsiTheme="majorHAnsi" w:cstheme="majorHAnsi"/>
          <w:b/>
          <w:bCs/>
        </w:rPr>
        <w:t>Document Summary:</w:t>
      </w:r>
    </w:p>
    <w:p w14:paraId="0EA7A626" w14:textId="64A17614" w:rsidR="00592E9C" w:rsidRPr="00592E9C" w:rsidRDefault="00592E9C">
      <w:pPr>
        <w:rPr>
          <w:rFonts w:asciiTheme="majorHAnsi" w:hAnsiTheme="majorHAnsi" w:cstheme="majorHAnsi"/>
        </w:rPr>
      </w:pPr>
      <w:r w:rsidRPr="00592E9C">
        <w:rPr>
          <w:rFonts w:asciiTheme="majorHAnsi" w:hAnsiTheme="majorHAnsi" w:cstheme="majorHAnsi"/>
        </w:rPr>
        <w:tab/>
        <w:t>This document outlines securing security scans from infosec using Qualys against previously patched servers.</w:t>
      </w:r>
    </w:p>
    <w:p w14:paraId="10CA186E" w14:textId="77777777" w:rsidR="00592E9C" w:rsidRPr="00592E9C" w:rsidRDefault="00592E9C" w:rsidP="00592E9C">
      <w:pPr>
        <w:rPr>
          <w:rFonts w:asciiTheme="majorHAnsi" w:hAnsiTheme="majorHAnsi" w:cstheme="majorHAnsi"/>
          <w:b/>
          <w:bCs/>
        </w:rPr>
      </w:pPr>
      <w:r w:rsidRPr="00592E9C">
        <w:rPr>
          <w:rFonts w:asciiTheme="majorHAnsi" w:hAnsiTheme="majorHAnsi" w:cstheme="majorHAnsi"/>
          <w:b/>
          <w:bCs/>
        </w:rPr>
        <w:t>Scope</w:t>
      </w:r>
    </w:p>
    <w:p w14:paraId="40687D7D" w14:textId="2FE32FB4" w:rsidR="00592E9C" w:rsidRPr="00592E9C" w:rsidRDefault="00592E9C" w:rsidP="00592E9C">
      <w:pPr>
        <w:rPr>
          <w:rFonts w:asciiTheme="majorHAnsi" w:hAnsiTheme="majorHAnsi" w:cstheme="majorHAnsi"/>
        </w:rPr>
      </w:pPr>
      <w:r w:rsidRPr="00592E9C">
        <w:rPr>
          <w:rFonts w:asciiTheme="majorHAnsi" w:hAnsiTheme="majorHAnsi" w:cstheme="majorHAnsi"/>
        </w:rPr>
        <w:t xml:space="preserve">The scope of this document covers </w:t>
      </w:r>
      <w:r w:rsidR="00937BF2">
        <w:rPr>
          <w:rFonts w:asciiTheme="majorHAnsi" w:hAnsiTheme="majorHAnsi" w:cstheme="majorHAnsi"/>
        </w:rPr>
        <w:t>windows patching cycle</w:t>
      </w:r>
    </w:p>
    <w:p w14:paraId="2525866C" w14:textId="77777777" w:rsidR="00592E9C" w:rsidRPr="00592E9C" w:rsidRDefault="00592E9C" w:rsidP="00592E9C">
      <w:pPr>
        <w:spacing w:before="450" w:after="0" w:line="240" w:lineRule="auto"/>
        <w:outlineLvl w:val="1"/>
        <w:rPr>
          <w:rFonts w:asciiTheme="majorHAnsi" w:eastAsia="Times New Roman" w:hAnsiTheme="majorHAnsi" w:cstheme="majorHAnsi"/>
          <w:color w:val="172B4D"/>
          <w:spacing w:val="-2"/>
          <w:sz w:val="30"/>
          <w:szCs w:val="30"/>
        </w:rPr>
      </w:pPr>
      <w:r w:rsidRPr="00592E9C">
        <w:rPr>
          <w:rFonts w:asciiTheme="majorHAnsi" w:eastAsia="Times New Roman" w:hAnsiTheme="majorHAnsi" w:cstheme="majorHAnsi"/>
          <w:color w:val="172B4D"/>
          <w:spacing w:val="-2"/>
          <w:sz w:val="30"/>
          <w:szCs w:val="30"/>
        </w:rPr>
        <w:t>Background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592E9C" w:rsidRPr="00592E9C" w14:paraId="16B046A1" w14:textId="77777777" w:rsidTr="00592E9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A29163" w14:textId="74F0486E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b/>
                <w:bCs/>
                <w:color w:val="403152"/>
                <w:sz w:val="24"/>
                <w:szCs w:val="24"/>
              </w:rPr>
              <w:t>What does this process do?</w:t>
            </w:r>
          </w:p>
        </w:tc>
      </w:tr>
      <w:tr w:rsidR="00592E9C" w:rsidRPr="00592E9C" w14:paraId="1D1910FB" w14:textId="77777777" w:rsidTr="00592E9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9242CB" w14:textId="20282385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color w:val="403152"/>
                <w:sz w:val="24"/>
                <w:szCs w:val="24"/>
              </w:rPr>
              <w:t>Provide documentation on how to request Qualys scans to validate a patch cycle activity</w:t>
            </w:r>
          </w:p>
        </w:tc>
      </w:tr>
      <w:tr w:rsidR="00592E9C" w:rsidRPr="00592E9C" w14:paraId="426DEFA8" w14:textId="77777777" w:rsidTr="00592E9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AD3F9A" w14:textId="5C62E825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b/>
                <w:bCs/>
                <w:color w:val="403152"/>
                <w:sz w:val="24"/>
                <w:szCs w:val="24"/>
              </w:rPr>
              <w:t>What does this Service do?</w:t>
            </w:r>
          </w:p>
        </w:tc>
      </w:tr>
      <w:tr w:rsidR="00592E9C" w:rsidRPr="00592E9C" w14:paraId="3D7B4AA5" w14:textId="77777777" w:rsidTr="00592E9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8FCB6A" w14:textId="52165BF1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sz w:val="24"/>
                <w:szCs w:val="24"/>
              </w:rPr>
              <w:t>Validate Patching Cycle Success Rate</w:t>
            </w:r>
          </w:p>
        </w:tc>
      </w:tr>
      <w:tr w:rsidR="00592E9C" w:rsidRPr="00592E9C" w14:paraId="0B773DD3" w14:textId="77777777" w:rsidTr="00592E9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EB6B11" w14:textId="7777777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b/>
                <w:bCs/>
                <w:color w:val="403152"/>
                <w:sz w:val="24"/>
                <w:szCs w:val="24"/>
              </w:rPr>
              <w:t>Which area of the company does this apply to?</w:t>
            </w:r>
          </w:p>
        </w:tc>
      </w:tr>
      <w:tr w:rsidR="00592E9C" w:rsidRPr="00592E9C" w14:paraId="1C01FB83" w14:textId="77777777" w:rsidTr="00592E9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8B888A" w14:textId="19B3A2DB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sz w:val="24"/>
                <w:szCs w:val="24"/>
              </w:rPr>
              <w:t>Wintel Engineer team performed the patching cycle.</w:t>
            </w:r>
          </w:p>
        </w:tc>
      </w:tr>
      <w:tr w:rsidR="00592E9C" w:rsidRPr="00592E9C" w14:paraId="7FAA5F68" w14:textId="77777777" w:rsidTr="00592E9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1AA14A" w14:textId="445201CC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b/>
                <w:bCs/>
                <w:color w:val="403152"/>
                <w:sz w:val="24"/>
                <w:szCs w:val="24"/>
              </w:rPr>
              <w:t>When should / could this Service be used?</w:t>
            </w:r>
          </w:p>
        </w:tc>
      </w:tr>
      <w:tr w:rsidR="00592E9C" w:rsidRPr="00592E9C" w14:paraId="19244717" w14:textId="77777777" w:rsidTr="00592E9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1B1C94" w14:textId="39FE8F26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Right after the patching cycle</w:t>
            </w:r>
          </w:p>
        </w:tc>
      </w:tr>
      <w:tr w:rsidR="00592E9C" w:rsidRPr="00592E9C" w14:paraId="54830C25" w14:textId="77777777" w:rsidTr="00592E9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C7F15C" w14:textId="6AE4E0CE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b/>
                <w:bCs/>
                <w:color w:val="403152"/>
                <w:sz w:val="24"/>
                <w:szCs w:val="24"/>
              </w:rPr>
              <w:t>When should it not be used?</w:t>
            </w:r>
          </w:p>
        </w:tc>
      </w:tr>
      <w:tr w:rsidR="00592E9C" w:rsidRPr="00592E9C" w14:paraId="3BE0892E" w14:textId="77777777" w:rsidTr="00592E9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75CA59" w14:textId="676BD007" w:rsidR="00592E9C" w:rsidRPr="00592E9C" w:rsidRDefault="00592E9C" w:rsidP="00592E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92E9C">
              <w:rPr>
                <w:rFonts w:asciiTheme="majorHAnsi" w:eastAsia="Times New Roman" w:hAnsiTheme="majorHAnsi" w:cstheme="majorHAnsi"/>
                <w:sz w:val="24"/>
                <w:szCs w:val="24"/>
              </w:rPr>
              <w:t>Not applicable to individual server patching activities</w:t>
            </w:r>
            <w:r w:rsidR="003531C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or </w:t>
            </w:r>
            <w:r w:rsidR="00937B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vulnerability remediation. Please </w:t>
            </w:r>
            <w:r w:rsidR="00F23B23">
              <w:rPr>
                <w:rFonts w:asciiTheme="majorHAnsi" w:eastAsia="Times New Roman" w:hAnsiTheme="majorHAnsi" w:cstheme="majorHAnsi"/>
                <w:sz w:val="24"/>
                <w:szCs w:val="24"/>
              </w:rPr>
              <w:t>remember</w:t>
            </w:r>
            <w:r w:rsidR="00937B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93386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that </w:t>
            </w:r>
            <w:r w:rsidR="00F23B23">
              <w:rPr>
                <w:rFonts w:asciiTheme="majorHAnsi" w:eastAsia="Times New Roman" w:hAnsiTheme="majorHAnsi" w:cstheme="majorHAnsi"/>
                <w:sz w:val="24"/>
                <w:szCs w:val="24"/>
              </w:rPr>
              <w:t>this document's scope</w:t>
            </w:r>
            <w:r w:rsidR="0093386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describes</w:t>
            </w:r>
            <w:r w:rsidR="004C52E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how to measure the success rate </w:t>
            </w:r>
            <w:r w:rsidR="00F23B23">
              <w:rPr>
                <w:rFonts w:asciiTheme="majorHAnsi" w:eastAsia="Times New Roman" w:hAnsiTheme="majorHAnsi" w:cstheme="majorHAnsi"/>
                <w:sz w:val="24"/>
                <w:szCs w:val="24"/>
              </w:rPr>
              <w:t>of the previous patching cycle via Qualys and not to remediate server vulnerabilities.</w:t>
            </w:r>
          </w:p>
        </w:tc>
      </w:tr>
    </w:tbl>
    <w:p w14:paraId="0FCEC03A" w14:textId="59719677" w:rsidR="00592E9C" w:rsidRPr="00592E9C" w:rsidRDefault="00592E9C" w:rsidP="00592E9C">
      <w:pPr>
        <w:rPr>
          <w:rFonts w:asciiTheme="majorHAnsi" w:hAnsiTheme="majorHAnsi" w:cstheme="majorHAnsi"/>
        </w:rPr>
      </w:pPr>
    </w:p>
    <w:p w14:paraId="5F25783E" w14:textId="46708D36" w:rsidR="00592E9C" w:rsidRPr="00592E9C" w:rsidRDefault="00592E9C" w:rsidP="00592E9C">
      <w:pPr>
        <w:rPr>
          <w:rFonts w:asciiTheme="majorHAnsi" w:hAnsiTheme="majorHAnsi" w:cstheme="majorHAnsi"/>
          <w:b/>
          <w:bCs/>
        </w:rPr>
      </w:pPr>
      <w:r w:rsidRPr="00592E9C">
        <w:rPr>
          <w:rFonts w:asciiTheme="majorHAnsi" w:hAnsiTheme="majorHAnsi" w:cstheme="majorHAnsi"/>
          <w:b/>
          <w:bCs/>
        </w:rPr>
        <w:t>Procedures</w:t>
      </w:r>
    </w:p>
    <w:p w14:paraId="0D6A2031" w14:textId="77777777" w:rsidR="00592E9C" w:rsidRPr="00592E9C" w:rsidRDefault="00592E9C" w:rsidP="00592E9C">
      <w:pPr>
        <w:rPr>
          <w:rFonts w:asciiTheme="majorHAnsi" w:hAnsiTheme="majorHAnsi" w:cstheme="majorHAnsi"/>
        </w:rPr>
      </w:pPr>
      <w:r w:rsidRPr="00592E9C">
        <w:rPr>
          <w:rFonts w:asciiTheme="majorHAnsi" w:hAnsiTheme="majorHAnsi" w:cstheme="majorHAnsi"/>
        </w:rPr>
        <w:t>During every patching cycle, the change manager will send two server lists: a provisional and a final list of servers targeted for the upcoming patching cycle. The final list of servers needs to be submitted to Infosec using the following ServiceNow link:</w:t>
      </w:r>
    </w:p>
    <w:p w14:paraId="2B622692" w14:textId="4E6C50EE" w:rsidR="00592E9C" w:rsidRPr="00592E9C" w:rsidRDefault="00774C49" w:rsidP="00592E9C">
      <w:pPr>
        <w:rPr>
          <w:rFonts w:asciiTheme="majorHAnsi" w:hAnsiTheme="majorHAnsi" w:cstheme="majorHAnsi"/>
          <w:lang w:val="en-GB"/>
        </w:rPr>
      </w:pPr>
      <w:hyperlink r:id="rId7" w:history="1">
        <w:r w:rsidR="00592E9C" w:rsidRPr="00592E9C">
          <w:rPr>
            <w:rStyle w:val="Hyperlink"/>
            <w:rFonts w:asciiTheme="majorHAnsi" w:hAnsiTheme="majorHAnsi" w:cstheme="majorHAnsi"/>
            <w:lang w:val="en-GB"/>
          </w:rPr>
          <w:t>Vulnerability Management Requests - TPICAP Service Portal (service-now.com)</w:t>
        </w:r>
      </w:hyperlink>
    </w:p>
    <w:p w14:paraId="0AB06322" w14:textId="362381B1" w:rsidR="00592E9C" w:rsidRPr="00592E9C" w:rsidRDefault="00592E9C" w:rsidP="00592E9C">
      <w:pPr>
        <w:rPr>
          <w:rFonts w:asciiTheme="majorHAnsi" w:hAnsiTheme="majorHAnsi" w:cstheme="majorHAnsi"/>
          <w:lang w:val="en-GB"/>
        </w:rPr>
      </w:pPr>
      <w:r w:rsidRPr="00592E9C">
        <w:rPr>
          <w:rFonts w:asciiTheme="majorHAnsi" w:hAnsiTheme="majorHAnsi" w:cstheme="majorHAnsi"/>
          <w:lang w:val="en-GB"/>
        </w:rPr>
        <w:t>Please submit the final spreadsheet</w:t>
      </w:r>
      <w:r w:rsidR="00DB51B3">
        <w:rPr>
          <w:rFonts w:asciiTheme="majorHAnsi" w:hAnsiTheme="majorHAnsi" w:cstheme="majorHAnsi"/>
          <w:lang w:val="en-GB"/>
        </w:rPr>
        <w:t xml:space="preserve"> for </w:t>
      </w:r>
      <w:r w:rsidR="000E34B0">
        <w:rPr>
          <w:rFonts w:asciiTheme="majorHAnsi" w:hAnsiTheme="majorHAnsi" w:cstheme="majorHAnsi"/>
          <w:lang w:val="en-GB"/>
        </w:rPr>
        <w:t xml:space="preserve">vulnerabilities with severity five (5) </w:t>
      </w:r>
      <w:r w:rsidRPr="00592E9C">
        <w:rPr>
          <w:rFonts w:asciiTheme="majorHAnsi" w:hAnsiTheme="majorHAnsi" w:cstheme="majorHAnsi"/>
          <w:lang w:val="en-GB"/>
        </w:rPr>
        <w:t>and request the job to be run starting Sunday at 4:00 am, Singapore time.</w:t>
      </w:r>
    </w:p>
    <w:p w14:paraId="01D541B0" w14:textId="4DF86DDC" w:rsidR="00592E9C" w:rsidRPr="00592E9C" w:rsidRDefault="00592E9C" w:rsidP="00592E9C">
      <w:pPr>
        <w:rPr>
          <w:rFonts w:asciiTheme="majorHAnsi" w:hAnsiTheme="majorHAnsi" w:cstheme="majorHAnsi"/>
          <w:lang w:val="en-GB"/>
        </w:rPr>
      </w:pPr>
    </w:p>
    <w:p w14:paraId="4E9B7E51" w14:textId="196B2687" w:rsidR="00592E9C" w:rsidRPr="00592E9C" w:rsidRDefault="00592E9C" w:rsidP="00592E9C">
      <w:pPr>
        <w:rPr>
          <w:rFonts w:asciiTheme="majorHAnsi" w:hAnsiTheme="majorHAnsi" w:cstheme="majorHAnsi"/>
          <w:lang w:val="en-GB"/>
        </w:rPr>
      </w:pPr>
      <w:r w:rsidRPr="00592E9C">
        <w:rPr>
          <w:rFonts w:asciiTheme="majorHAnsi" w:hAnsiTheme="majorHAnsi" w:cstheme="majorHAnsi"/>
          <w:lang w:val="en-GB"/>
        </w:rPr>
        <w:t>Please notify the following distro of the ticket number, the list, and the schedule.</w:t>
      </w:r>
    </w:p>
    <w:p w14:paraId="3EB1D791" w14:textId="4F77A4F1" w:rsidR="00592E9C" w:rsidRPr="00592E9C" w:rsidRDefault="00592E9C" w:rsidP="00592E9C">
      <w:pPr>
        <w:rPr>
          <w:rFonts w:asciiTheme="majorHAnsi" w:hAnsiTheme="majorHAnsi" w:cstheme="majorHAnsi"/>
          <w:lang w:val="en-GB"/>
        </w:rPr>
      </w:pPr>
      <w:r w:rsidRPr="00592E9C">
        <w:rPr>
          <w:rFonts w:asciiTheme="majorHAnsi" w:hAnsiTheme="majorHAnsi" w:cstheme="majorHAnsi"/>
          <w:lang w:val="en-GB"/>
        </w:rPr>
        <w:t xml:space="preserve">Global IT Security </w:t>
      </w:r>
      <w:hyperlink r:id="rId8" w:history="1">
        <w:r w:rsidRPr="00592E9C">
          <w:rPr>
            <w:rStyle w:val="Hyperlink"/>
            <w:rFonts w:asciiTheme="majorHAnsi" w:hAnsiTheme="majorHAnsi" w:cstheme="majorHAnsi"/>
            <w:lang w:val="en-GB"/>
          </w:rPr>
          <w:t>GlobalITSecurity@tpicap.com</w:t>
        </w:r>
      </w:hyperlink>
    </w:p>
    <w:p w14:paraId="6DF3815B" w14:textId="235BA52D" w:rsidR="00592E9C" w:rsidRPr="00592E9C" w:rsidRDefault="00592E9C" w:rsidP="00592E9C">
      <w:pPr>
        <w:rPr>
          <w:rFonts w:asciiTheme="majorHAnsi" w:hAnsiTheme="majorHAnsi" w:cstheme="majorHAnsi"/>
          <w:lang w:val="en-GB"/>
        </w:rPr>
      </w:pPr>
      <w:r w:rsidRPr="00592E9C">
        <w:rPr>
          <w:rFonts w:asciiTheme="majorHAnsi" w:hAnsiTheme="majorHAnsi" w:cstheme="majorHAnsi"/>
          <w:lang w:val="en-GB"/>
        </w:rPr>
        <w:t xml:space="preserve">TP ICAP Global Wintel Administrators </w:t>
      </w:r>
      <w:hyperlink r:id="rId9" w:history="1">
        <w:r w:rsidRPr="00592E9C">
          <w:rPr>
            <w:rStyle w:val="Hyperlink"/>
            <w:rFonts w:asciiTheme="majorHAnsi" w:hAnsiTheme="majorHAnsi" w:cstheme="majorHAnsi"/>
            <w:lang w:val="en-GB"/>
          </w:rPr>
          <w:t>WintelAdministrators@tpicap.com</w:t>
        </w:r>
      </w:hyperlink>
    </w:p>
    <w:p w14:paraId="50BC57B0" w14:textId="7819CB17" w:rsidR="00592E9C" w:rsidRPr="00592E9C" w:rsidRDefault="00592E9C" w:rsidP="00592E9C">
      <w:pPr>
        <w:rPr>
          <w:rFonts w:asciiTheme="majorHAnsi" w:hAnsiTheme="majorHAnsi" w:cstheme="majorHAnsi"/>
          <w:lang w:val="en-GB"/>
        </w:rPr>
      </w:pPr>
      <w:r w:rsidRPr="00592E9C"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43E2E380" wp14:editId="08246A97">
            <wp:extent cx="5943600" cy="1766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1FF4" w14:textId="2A838B04" w:rsidR="00592E9C" w:rsidRPr="00592E9C" w:rsidRDefault="00592E9C" w:rsidP="00592E9C">
      <w:pPr>
        <w:rPr>
          <w:rFonts w:asciiTheme="majorHAnsi" w:hAnsiTheme="majorHAnsi" w:cstheme="majorHAnsi"/>
          <w:lang w:val="en-GB"/>
        </w:rPr>
      </w:pPr>
    </w:p>
    <w:p w14:paraId="1378D4D9" w14:textId="7CA3F975" w:rsidR="00592E9C" w:rsidRPr="00592E9C" w:rsidRDefault="00592E9C" w:rsidP="00592E9C">
      <w:pPr>
        <w:rPr>
          <w:rFonts w:asciiTheme="majorHAnsi" w:hAnsiTheme="majorHAnsi" w:cstheme="majorHAnsi"/>
          <w:lang w:val="en-GB"/>
        </w:rPr>
      </w:pPr>
      <w:r w:rsidRPr="00592E9C">
        <w:rPr>
          <w:rFonts w:asciiTheme="majorHAnsi" w:hAnsiTheme="majorHAnsi" w:cstheme="majorHAnsi"/>
          <w:lang w:val="en-GB"/>
        </w:rPr>
        <w:t>The vulnerabilities need to be dump in a single file like so:</w:t>
      </w:r>
    </w:p>
    <w:p w14:paraId="39A60739" w14:textId="59F48E5F" w:rsidR="00592E9C" w:rsidRPr="00592E9C" w:rsidRDefault="00592E9C" w:rsidP="00592E9C">
      <w:pPr>
        <w:rPr>
          <w:rFonts w:asciiTheme="majorHAnsi" w:hAnsiTheme="majorHAnsi" w:cstheme="majorHAnsi"/>
          <w:lang w:val="en-GB"/>
        </w:rPr>
      </w:pPr>
      <w:r w:rsidRPr="00592E9C">
        <w:rPr>
          <w:rFonts w:asciiTheme="majorHAnsi" w:hAnsiTheme="majorHAnsi" w:cstheme="majorHAnsi"/>
          <w:noProof/>
          <w:lang w:val="en-GB"/>
        </w:rPr>
        <w:lastRenderedPageBreak/>
        <w:drawing>
          <wp:inline distT="0" distB="0" distL="0" distR="0" wp14:anchorId="5B41D132" wp14:editId="2ADF7768">
            <wp:extent cx="5943600" cy="1543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B831" w14:textId="13C335EF" w:rsidR="00592E9C" w:rsidRPr="00592E9C" w:rsidRDefault="00592E9C" w:rsidP="00592E9C">
      <w:pPr>
        <w:rPr>
          <w:rFonts w:asciiTheme="majorHAnsi" w:hAnsiTheme="majorHAnsi" w:cstheme="majorHAnsi"/>
          <w:lang w:val="en-GB"/>
        </w:rPr>
      </w:pPr>
      <w:r w:rsidRPr="00592E9C">
        <w:rPr>
          <w:rFonts w:asciiTheme="majorHAnsi" w:hAnsiTheme="majorHAnsi" w:cstheme="majorHAnsi"/>
          <w:lang w:val="en-GB"/>
        </w:rPr>
        <w:t>The following filter needs to be applied to determine Wintel Owned Vulnerabilities:</w:t>
      </w:r>
      <w:r w:rsidRPr="00592E9C">
        <w:rPr>
          <w:rFonts w:asciiTheme="majorHAnsi" w:hAnsiTheme="majorHAnsi" w:cstheme="majorHAnsi"/>
          <w:lang w:val="en-GB"/>
        </w:rPr>
        <w:br/>
      </w:r>
    </w:p>
    <w:p w14:paraId="42F8DEED" w14:textId="5815CE6C" w:rsidR="00592E9C" w:rsidRPr="00592E9C" w:rsidRDefault="00592E9C" w:rsidP="00592E9C">
      <w:pPr>
        <w:rPr>
          <w:rFonts w:asciiTheme="majorHAnsi" w:hAnsiTheme="majorHAnsi" w:cstheme="majorHAnsi"/>
          <w:lang w:val="en-GB"/>
        </w:rPr>
      </w:pPr>
      <w:r w:rsidRPr="00592E9C">
        <w:rPr>
          <w:rFonts w:asciiTheme="majorHAnsi" w:hAnsiTheme="majorHAnsi" w:cstheme="majorHAnsi"/>
          <w:lang w:val="en-GB"/>
        </w:rPr>
        <w:t>Severity 4 and 5:</w:t>
      </w:r>
    </w:p>
    <w:p w14:paraId="579CF45A" w14:textId="67393D5F" w:rsidR="00592E9C" w:rsidRPr="00592E9C" w:rsidRDefault="00E219C0" w:rsidP="00592E9C">
      <w:pPr>
        <w:rPr>
          <w:rFonts w:asciiTheme="majorHAnsi" w:hAnsiTheme="majorHAnsi" w:cstheme="majorHAnsi"/>
          <w:lang w:val="en-GB"/>
        </w:rPr>
      </w:pPr>
      <w:r w:rsidRPr="003531C1"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19F44AF8" wp14:editId="4BECBD52">
            <wp:extent cx="2562583" cy="497274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1265" w14:textId="7EA0A3C0" w:rsidR="00592E9C" w:rsidRPr="00592E9C" w:rsidRDefault="00592E9C" w:rsidP="00592E9C">
      <w:pPr>
        <w:rPr>
          <w:rFonts w:asciiTheme="majorHAnsi" w:hAnsiTheme="majorHAnsi" w:cstheme="majorHAnsi"/>
          <w:lang w:val="en-GB"/>
        </w:rPr>
      </w:pPr>
    </w:p>
    <w:p w14:paraId="73B6EEB7" w14:textId="50CA4D5F" w:rsidR="00592E9C" w:rsidRPr="00592E9C" w:rsidRDefault="00592E9C" w:rsidP="00592E9C">
      <w:pPr>
        <w:rPr>
          <w:rFonts w:asciiTheme="majorHAnsi" w:hAnsiTheme="majorHAnsi" w:cstheme="majorHAnsi"/>
          <w:lang w:val="en-GB"/>
        </w:rPr>
      </w:pPr>
      <w:r w:rsidRPr="00592E9C">
        <w:rPr>
          <w:rFonts w:asciiTheme="majorHAnsi" w:hAnsiTheme="majorHAnsi" w:cstheme="majorHAnsi"/>
          <w:lang w:val="en-GB"/>
        </w:rPr>
        <w:t>Title: Filter for text containing Microsoft Windows.</w:t>
      </w:r>
    </w:p>
    <w:p w14:paraId="7C070E4C" w14:textId="7B2E301C" w:rsidR="00592E9C" w:rsidRPr="00592E9C" w:rsidRDefault="009A5ACA" w:rsidP="00592E9C">
      <w:pPr>
        <w:rPr>
          <w:rFonts w:asciiTheme="majorHAnsi" w:hAnsiTheme="majorHAnsi" w:cstheme="majorHAnsi"/>
          <w:lang w:val="en-GB"/>
        </w:rPr>
      </w:pPr>
      <w:r w:rsidRPr="009A5ACA">
        <w:rPr>
          <w:rFonts w:asciiTheme="majorHAnsi" w:hAnsiTheme="majorHAnsi" w:cstheme="majorHAnsi"/>
          <w:noProof/>
          <w:lang w:val="en-GB"/>
        </w:rPr>
        <w:lastRenderedPageBreak/>
        <w:drawing>
          <wp:inline distT="0" distB="0" distL="0" distR="0" wp14:anchorId="35F89111" wp14:editId="1BE20C6C">
            <wp:extent cx="2562583" cy="4963218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4212" w14:textId="0E301F9B" w:rsidR="00592E9C" w:rsidRPr="00592E9C" w:rsidRDefault="00592E9C" w:rsidP="00592E9C">
      <w:pPr>
        <w:rPr>
          <w:rFonts w:asciiTheme="majorHAnsi" w:hAnsiTheme="majorHAnsi" w:cstheme="majorHAnsi"/>
          <w:lang w:val="en-GB"/>
        </w:rPr>
      </w:pPr>
    </w:p>
    <w:p w14:paraId="23022B02" w14:textId="7B2F4FC2" w:rsidR="00592E9C" w:rsidRPr="00592E9C" w:rsidRDefault="00037FAE" w:rsidP="00592E9C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From </w:t>
      </w:r>
      <w:r w:rsidR="00592E9C" w:rsidRPr="00592E9C">
        <w:rPr>
          <w:rFonts w:asciiTheme="majorHAnsi" w:hAnsiTheme="majorHAnsi" w:cstheme="majorHAnsi"/>
          <w:lang w:val="en-GB"/>
        </w:rPr>
        <w:t xml:space="preserve">The resulting </w:t>
      </w:r>
      <w:r>
        <w:rPr>
          <w:rFonts w:asciiTheme="majorHAnsi" w:hAnsiTheme="majorHAnsi" w:cstheme="majorHAnsi"/>
          <w:lang w:val="en-GB"/>
        </w:rPr>
        <w:t>data,</w:t>
      </w:r>
      <w:r w:rsidR="00592E9C" w:rsidRPr="00592E9C">
        <w:rPr>
          <w:rFonts w:asciiTheme="majorHAnsi" w:hAnsiTheme="majorHAnsi" w:cstheme="majorHAnsi"/>
          <w:lang w:val="en-GB"/>
        </w:rPr>
        <w:t xml:space="preserve"> create a pivot table with the following filters:</w:t>
      </w:r>
      <w:r w:rsidR="00592E9C" w:rsidRPr="00592E9C">
        <w:rPr>
          <w:rFonts w:asciiTheme="majorHAnsi" w:hAnsiTheme="majorHAnsi" w:cstheme="majorHAnsi"/>
          <w:lang w:val="en-GB"/>
        </w:rPr>
        <w:br/>
      </w:r>
    </w:p>
    <w:p w14:paraId="3EFEA97C" w14:textId="77777777" w:rsidR="00592E9C" w:rsidRPr="00592E9C" w:rsidRDefault="00592E9C" w:rsidP="00592E9C">
      <w:pPr>
        <w:rPr>
          <w:rFonts w:asciiTheme="majorHAnsi" w:hAnsiTheme="majorHAnsi" w:cstheme="majorHAnsi"/>
          <w:lang w:val="en-GB"/>
        </w:rPr>
      </w:pPr>
    </w:p>
    <w:p w14:paraId="2F663FFC" w14:textId="77777777" w:rsidR="00592E9C" w:rsidRPr="00592E9C" w:rsidRDefault="00592E9C" w:rsidP="00592E9C">
      <w:pPr>
        <w:rPr>
          <w:rFonts w:asciiTheme="majorHAnsi" w:hAnsiTheme="majorHAnsi" w:cstheme="majorHAnsi"/>
          <w:lang w:val="en-GB"/>
        </w:rPr>
      </w:pPr>
    </w:p>
    <w:p w14:paraId="0A5427A4" w14:textId="4AB8D23D" w:rsidR="00592E9C" w:rsidRPr="00592E9C" w:rsidRDefault="00592E9C" w:rsidP="00592E9C">
      <w:pPr>
        <w:rPr>
          <w:rFonts w:asciiTheme="majorHAnsi" w:hAnsiTheme="majorHAnsi" w:cstheme="majorHAnsi"/>
          <w:lang w:val="en-GB"/>
        </w:rPr>
      </w:pPr>
      <w:r w:rsidRPr="00592E9C">
        <w:rPr>
          <w:rFonts w:asciiTheme="majorHAnsi" w:hAnsiTheme="majorHAnsi" w:cstheme="majorHAnsi"/>
          <w:noProof/>
          <w:lang w:val="en-GB"/>
        </w:rPr>
        <w:lastRenderedPageBreak/>
        <w:drawing>
          <wp:inline distT="0" distB="0" distL="0" distR="0" wp14:anchorId="3996F62C" wp14:editId="467446B3">
            <wp:extent cx="3223895" cy="604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F585" w14:textId="0AB4BC39" w:rsidR="00592E9C" w:rsidRPr="00592E9C" w:rsidRDefault="00592E9C" w:rsidP="00592E9C">
      <w:pPr>
        <w:rPr>
          <w:rFonts w:asciiTheme="majorHAnsi" w:hAnsiTheme="majorHAnsi" w:cstheme="majorHAnsi"/>
          <w:lang w:val="en-GB"/>
        </w:rPr>
      </w:pPr>
      <w:r w:rsidRPr="00592E9C">
        <w:rPr>
          <w:rFonts w:asciiTheme="majorHAnsi" w:hAnsiTheme="majorHAnsi" w:cstheme="majorHAnsi"/>
          <w:lang w:val="en-GB"/>
        </w:rPr>
        <w:t xml:space="preserve">You will get a list of servers that contains vulnerabilities with </w:t>
      </w:r>
      <w:r w:rsidR="003E60BF">
        <w:rPr>
          <w:rFonts w:asciiTheme="majorHAnsi" w:hAnsiTheme="majorHAnsi" w:cstheme="majorHAnsi"/>
          <w:lang w:val="en-GB"/>
        </w:rPr>
        <w:t>severity five</w:t>
      </w:r>
      <w:r w:rsidRPr="00592E9C">
        <w:rPr>
          <w:rFonts w:asciiTheme="majorHAnsi" w:hAnsiTheme="majorHAnsi" w:cstheme="majorHAnsi"/>
          <w:lang w:val="en-GB"/>
        </w:rPr>
        <w:t xml:space="preserve"> </w:t>
      </w:r>
      <w:r w:rsidR="003E60BF">
        <w:rPr>
          <w:rFonts w:asciiTheme="majorHAnsi" w:hAnsiTheme="majorHAnsi" w:cstheme="majorHAnsi"/>
          <w:lang w:val="en-GB"/>
        </w:rPr>
        <w:t>(</w:t>
      </w:r>
      <w:r w:rsidRPr="00592E9C">
        <w:rPr>
          <w:rFonts w:asciiTheme="majorHAnsi" w:hAnsiTheme="majorHAnsi" w:cstheme="majorHAnsi"/>
          <w:lang w:val="en-GB"/>
        </w:rPr>
        <w:t>5</w:t>
      </w:r>
      <w:r w:rsidR="003E60BF">
        <w:rPr>
          <w:rFonts w:asciiTheme="majorHAnsi" w:hAnsiTheme="majorHAnsi" w:cstheme="majorHAnsi"/>
          <w:lang w:val="en-GB"/>
        </w:rPr>
        <w:t>)</w:t>
      </w:r>
      <w:r w:rsidRPr="00592E9C">
        <w:rPr>
          <w:rFonts w:asciiTheme="majorHAnsi" w:hAnsiTheme="majorHAnsi" w:cstheme="majorHAnsi"/>
          <w:lang w:val="en-GB"/>
        </w:rPr>
        <w:t>. These servers must be remediated on the next patching cycle or through an ad</w:t>
      </w:r>
      <w:r>
        <w:rPr>
          <w:rFonts w:asciiTheme="majorHAnsi" w:hAnsiTheme="majorHAnsi" w:cstheme="majorHAnsi"/>
          <w:lang w:val="en-GB"/>
        </w:rPr>
        <w:t>-</w:t>
      </w:r>
      <w:r w:rsidRPr="00592E9C">
        <w:rPr>
          <w:rFonts w:asciiTheme="majorHAnsi" w:hAnsiTheme="majorHAnsi" w:cstheme="majorHAnsi"/>
          <w:lang w:val="en-GB"/>
        </w:rPr>
        <w:t xml:space="preserve">hoc change. </w:t>
      </w:r>
      <w:r w:rsidR="003C64EA">
        <w:rPr>
          <w:rFonts w:asciiTheme="majorHAnsi" w:hAnsiTheme="majorHAnsi" w:cstheme="majorHAnsi"/>
          <w:lang w:val="en-GB"/>
        </w:rPr>
        <w:t>You have i</w:t>
      </w:r>
      <w:r w:rsidR="00CD6E0E">
        <w:rPr>
          <w:rFonts w:asciiTheme="majorHAnsi" w:hAnsiTheme="majorHAnsi" w:cstheme="majorHAnsi"/>
          <w:lang w:val="en-GB"/>
        </w:rPr>
        <w:t>dentified the list of servers that did not fully apply the latest patch from t</w:t>
      </w:r>
      <w:r w:rsidR="00620AF9">
        <w:rPr>
          <w:rFonts w:asciiTheme="majorHAnsi" w:hAnsiTheme="majorHAnsi" w:cstheme="majorHAnsi"/>
          <w:lang w:val="en-GB"/>
        </w:rPr>
        <w:t>he patching cycle.</w:t>
      </w:r>
    </w:p>
    <w:p w14:paraId="78B4325E" w14:textId="0AED1A4F" w:rsidR="00592E9C" w:rsidRPr="00592E9C" w:rsidRDefault="00774C49" w:rsidP="00592E9C">
      <w:pPr>
        <w:rPr>
          <w:rFonts w:asciiTheme="majorHAnsi" w:hAnsiTheme="majorHAnsi" w:cstheme="majorHAnsi"/>
          <w:lang w:val="en-GB"/>
        </w:rPr>
      </w:pPr>
      <w:r w:rsidRPr="00774C49">
        <w:rPr>
          <w:rFonts w:asciiTheme="majorHAnsi" w:hAnsiTheme="majorHAnsi" w:cstheme="majorHAnsi"/>
          <w:lang w:val="en-GB"/>
        </w:rPr>
        <w:lastRenderedPageBreak/>
        <w:drawing>
          <wp:inline distT="0" distB="0" distL="0" distR="0" wp14:anchorId="4516F9C7" wp14:editId="1D792029">
            <wp:extent cx="2791215" cy="669701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BA08" w14:textId="4560AFB8" w:rsidR="00592E9C" w:rsidRPr="00592E9C" w:rsidRDefault="00592E9C" w:rsidP="00592E9C">
      <w:pPr>
        <w:rPr>
          <w:rFonts w:asciiTheme="majorHAnsi" w:hAnsiTheme="majorHAnsi" w:cstheme="majorHAnsi"/>
          <w:lang w:val="en-GB"/>
        </w:rPr>
      </w:pPr>
      <w:r w:rsidRPr="00592E9C">
        <w:rPr>
          <w:rFonts w:asciiTheme="majorHAnsi" w:hAnsiTheme="majorHAnsi" w:cstheme="majorHAnsi"/>
          <w:lang w:val="en-GB"/>
        </w:rPr>
        <w:t>Send the results to the Windows team and line up resources for remediation</w:t>
      </w:r>
    </w:p>
    <w:p w14:paraId="7FBE19B1" w14:textId="5B73F0AA" w:rsidR="00592E9C" w:rsidRDefault="00592E9C" w:rsidP="00592E9C">
      <w:pPr>
        <w:rPr>
          <w:rFonts w:asciiTheme="majorHAnsi" w:hAnsiTheme="majorHAnsi" w:cstheme="majorHAnsi"/>
          <w:lang w:val="en-GB"/>
        </w:rPr>
      </w:pPr>
      <w:r w:rsidRPr="00592E9C">
        <w:rPr>
          <w:rFonts w:asciiTheme="majorHAnsi" w:hAnsiTheme="majorHAnsi" w:cstheme="majorHAnsi"/>
          <w:lang w:val="en-GB"/>
        </w:rPr>
        <w:t xml:space="preserve">TP ICAP Global Wintel Administrators </w:t>
      </w:r>
      <w:hyperlink r:id="rId16" w:history="1">
        <w:r w:rsidR="001C3BAA" w:rsidRPr="00B6404E">
          <w:rPr>
            <w:rStyle w:val="Hyperlink"/>
            <w:rFonts w:asciiTheme="majorHAnsi" w:hAnsiTheme="majorHAnsi" w:cstheme="majorHAnsi"/>
            <w:lang w:val="en-GB"/>
          </w:rPr>
          <w:t>WintelAdministrators@tpicap.com</w:t>
        </w:r>
      </w:hyperlink>
    </w:p>
    <w:p w14:paraId="36A4C08D" w14:textId="77777777" w:rsidR="001C3BAA" w:rsidRDefault="001C3BAA" w:rsidP="00592E9C">
      <w:pPr>
        <w:rPr>
          <w:rFonts w:asciiTheme="majorHAnsi" w:hAnsiTheme="majorHAnsi" w:cstheme="majorHAnsi"/>
          <w:lang w:val="en-GB"/>
        </w:rPr>
      </w:pPr>
    </w:p>
    <w:p w14:paraId="5F2CBFE5" w14:textId="33824F85" w:rsidR="001C3BAA" w:rsidRPr="00592E9C" w:rsidRDefault="00442B2E" w:rsidP="00592E9C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To get the success rate, the number of unique servers from you final list </w:t>
      </w:r>
    </w:p>
    <w:sectPr w:rsidR="001C3BAA" w:rsidRPr="00592E9C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70F10" w14:textId="77777777" w:rsidR="00592E9C" w:rsidRDefault="00592E9C" w:rsidP="00592E9C">
      <w:pPr>
        <w:spacing w:after="0" w:line="240" w:lineRule="auto"/>
      </w:pPr>
      <w:r>
        <w:separator/>
      </w:r>
    </w:p>
  </w:endnote>
  <w:endnote w:type="continuationSeparator" w:id="0">
    <w:p w14:paraId="7FBF1436" w14:textId="77777777" w:rsidR="00592E9C" w:rsidRDefault="00592E9C" w:rsidP="00592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87B2E" w14:textId="2E29D9C5" w:rsidR="00592E9C" w:rsidRDefault="00592E9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942E31" wp14:editId="5D757485">
              <wp:simplePos x="0" y="0"/>
              <wp:positionH relativeFrom="page">
                <wp:posOffset>0</wp:posOffset>
              </wp:positionH>
              <wp:positionV relativeFrom="page">
                <wp:posOffset>9555480</wp:posOffset>
              </wp:positionV>
              <wp:extent cx="7772400" cy="311785"/>
              <wp:effectExtent l="0" t="0" r="0" b="12065"/>
              <wp:wrapNone/>
              <wp:docPr id="8" name="MSIPCM708f41a295361b06a1834463" descr="{&quot;HashCode&quot;:207109873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47F42EA" w14:textId="2A80423B" w:rsidR="00592E9C" w:rsidRPr="00592E9C" w:rsidRDefault="00592E9C" w:rsidP="00592E9C">
                          <w:pPr>
                            <w:spacing w:after="0"/>
                            <w:rPr>
                              <w:rFonts w:ascii="Arial Black" w:hAnsi="Arial Black"/>
                              <w:color w:val="317100"/>
                              <w:sz w:val="16"/>
                            </w:rPr>
                          </w:pPr>
                          <w:r w:rsidRPr="00592E9C">
                            <w:rPr>
                              <w:rFonts w:ascii="Arial Black" w:hAnsi="Arial Black"/>
                              <w:color w:val="317100"/>
                              <w:sz w:val="16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942E31" id="_x0000_t202" coordsize="21600,21600" o:spt="202" path="m,l,21600r21600,l21600,xe">
              <v:stroke joinstyle="miter"/>
              <v:path gradientshapeok="t" o:connecttype="rect"/>
            </v:shapetype>
            <v:shape id="MSIPCM708f41a295361b06a1834463" o:spid="_x0000_s1026" type="#_x0000_t202" alt="{&quot;HashCode&quot;:2071098734,&quot;Height&quot;:792.0,&quot;Width&quot;:612.0,&quot;Placement&quot;:&quot;Footer&quot;,&quot;Index&quot;:&quot;Primary&quot;,&quot;Section&quot;:1,&quot;Top&quot;:0.0,&quot;Left&quot;:0.0}" style="position:absolute;margin-left:0;margin-top:752.4pt;width:612pt;height:24.5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" o:allowincell="f" filled="f" stroked="f" strokeweight=".5pt">
              <v:fill o:detectmouseclick="t"/>
              <v:textbox inset="20pt,0,,0">
                <w:txbxContent>
                  <w:p w14:paraId="047F42EA" w14:textId="2A80423B" w:rsidR="00592E9C" w:rsidRPr="00592E9C" w:rsidRDefault="00592E9C" w:rsidP="00592E9C">
                    <w:pPr>
                      <w:spacing w:after="0"/>
                      <w:rPr>
                        <w:rFonts w:ascii="Arial Black" w:hAnsi="Arial Black"/>
                        <w:color w:val="317100"/>
                        <w:sz w:val="16"/>
                      </w:rPr>
                    </w:pPr>
                    <w:r w:rsidRPr="00592E9C">
                      <w:rPr>
                        <w:rFonts w:ascii="Arial Black" w:hAnsi="Arial Black"/>
                        <w:color w:val="317100"/>
                        <w:sz w:val="16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1E508" w14:textId="77777777" w:rsidR="00592E9C" w:rsidRDefault="00592E9C" w:rsidP="00592E9C">
      <w:pPr>
        <w:spacing w:after="0" w:line="240" w:lineRule="auto"/>
      </w:pPr>
      <w:r>
        <w:separator/>
      </w:r>
    </w:p>
  </w:footnote>
  <w:footnote w:type="continuationSeparator" w:id="0">
    <w:p w14:paraId="0D920970" w14:textId="77777777" w:rsidR="00592E9C" w:rsidRDefault="00592E9C" w:rsidP="00592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3904"/>
    <w:multiLevelType w:val="multilevel"/>
    <w:tmpl w:val="2872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355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xMDSwMDKxNDM2NjZT0lEKTi0uzszPAykwqgUACCL43SwAAAA="/>
  </w:docVars>
  <w:rsids>
    <w:rsidRoot w:val="00592E9C"/>
    <w:rsid w:val="00037FAE"/>
    <w:rsid w:val="000E34B0"/>
    <w:rsid w:val="001C3BAA"/>
    <w:rsid w:val="003531C1"/>
    <w:rsid w:val="003C5051"/>
    <w:rsid w:val="003C64EA"/>
    <w:rsid w:val="003E60BF"/>
    <w:rsid w:val="00442B2E"/>
    <w:rsid w:val="004C52E2"/>
    <w:rsid w:val="00592E9C"/>
    <w:rsid w:val="00620AF9"/>
    <w:rsid w:val="00774C49"/>
    <w:rsid w:val="00933860"/>
    <w:rsid w:val="00937BF2"/>
    <w:rsid w:val="009A5ACA"/>
    <w:rsid w:val="00CD6E0E"/>
    <w:rsid w:val="00DB51B3"/>
    <w:rsid w:val="00E219C0"/>
    <w:rsid w:val="00F2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CC3FDD"/>
  <w15:chartTrackingRefBased/>
  <w15:docId w15:val="{240F8D9F-8E31-40F0-B54E-15DDE098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2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E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E9C"/>
    <w:rPr>
      <w:color w:val="0000FF"/>
      <w:u w:val="single"/>
    </w:rPr>
  </w:style>
  <w:style w:type="paragraph" w:customStyle="1" w:styleId="page-metadata-modification-info">
    <w:name w:val="page-metadata-modification-info"/>
    <w:basedOn w:val="Normal"/>
    <w:rsid w:val="00592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592E9C"/>
  </w:style>
  <w:style w:type="character" w:customStyle="1" w:styleId="editor">
    <w:name w:val="editor"/>
    <w:basedOn w:val="DefaultParagraphFont"/>
    <w:rsid w:val="00592E9C"/>
  </w:style>
  <w:style w:type="paragraph" w:styleId="NormalWeb">
    <w:name w:val="Normal (Web)"/>
    <w:basedOn w:val="Normal"/>
    <w:uiPriority w:val="99"/>
    <w:semiHidden/>
    <w:unhideWhenUsed/>
    <w:rsid w:val="00592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2E9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92E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92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E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92E9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9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E9C"/>
  </w:style>
  <w:style w:type="paragraph" w:styleId="Footer">
    <w:name w:val="footer"/>
    <w:basedOn w:val="Normal"/>
    <w:link w:val="FooterChar"/>
    <w:uiPriority w:val="99"/>
    <w:unhideWhenUsed/>
    <w:rsid w:val="0059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7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29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6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9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8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4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1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lobalITSecurity@tpicap.co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picap.service-now.com/tpicap_sp?id=sc_cat_item&amp;sys_id=8a5f34fa1b36955001cf8591f54bcba0&amp;sysparm_category=6fc093da1b7ca11001cf8591f54bcb2c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mailto:WintelAdministrators@tpicap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WintelAdministrators@tpicap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Jeff</dc:creator>
  <cp:keywords/>
  <dc:description/>
  <cp:lastModifiedBy>Flores, Jeff</cp:lastModifiedBy>
  <cp:revision>18</cp:revision>
  <dcterms:created xsi:type="dcterms:W3CDTF">2023-05-24T11:24:00Z</dcterms:created>
  <dcterms:modified xsi:type="dcterms:W3CDTF">2023-05-24T14:06:00Z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2b5683d-8785-4271-a364-b336b100d41c_Enabled">
    <vt:lpwstr>true</vt:lpwstr>
  </property>
  <property fmtid="{D5CDD505-2E9C-101B-9397-08002B2CF9AE}" pid="3" name="MSIP_Label_c2b5683d-8785-4271-a364-b336b100d41c_SetDate">
    <vt:lpwstr>2023-05-24T12:37:07Z</vt:lpwstr>
  </property>
  <property fmtid="{D5CDD505-2E9C-101B-9397-08002B2CF9AE}" pid="4" name="MSIP_Label_c2b5683d-8785-4271-a364-b336b100d41c_Method">
    <vt:lpwstr>Privileged</vt:lpwstr>
  </property>
  <property fmtid="{D5CDD505-2E9C-101B-9397-08002B2CF9AE}" pid="5" name="MSIP_Label_c2b5683d-8785-4271-a364-b336b100d41c_Name">
    <vt:lpwstr>c2b5683d-8785-4271-a364-b336b100d41c</vt:lpwstr>
  </property>
  <property fmtid="{D5CDD505-2E9C-101B-9397-08002B2CF9AE}" pid="6" name="MSIP_Label_c2b5683d-8785-4271-a364-b336b100d41c_SiteId">
    <vt:lpwstr>7bc8ad67-ee7f-43cb-8a42-1ada7dcc636e</vt:lpwstr>
  </property>
  <property fmtid="{D5CDD505-2E9C-101B-9397-08002B2CF9AE}" pid="7" name="MSIP_Label_c2b5683d-8785-4271-a364-b336b100d41c_ActionId">
    <vt:lpwstr>b5487a34-6ce4-4347-b1a6-6652498ad0e4</vt:lpwstr>
  </property>
  <property fmtid="{D5CDD505-2E9C-101B-9397-08002B2CF9AE}" pid="8" name="MSIP_Label_c2b5683d-8785-4271-a364-b336b100d41c_ContentBits">
    <vt:lpwstr>2</vt:lpwstr>
  </property>
</Properties>
</file>