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3A9DA2">
      <w:pPr>
        <w:rPr>
          <w:rFonts w:hint="default"/>
          <w:sz w:val="36"/>
          <w:szCs w:val="44"/>
          <w:lang w:val="en-US" w:eastAsia="zh-CN"/>
        </w:rPr>
      </w:pPr>
      <w:r>
        <w:rPr>
          <w:rFonts w:hint="eastAsia"/>
          <w:sz w:val="36"/>
          <w:szCs w:val="44"/>
          <w:lang w:val="en-US" w:eastAsia="zh-CN"/>
        </w:rPr>
        <w:t>3聚焦动力电池回收</w:t>
      </w:r>
    </w:p>
    <w:p w14:paraId="3D96B0D2">
      <w:pPr>
        <w:rPr>
          <w:rFonts w:hint="eastAsia"/>
          <w:sz w:val="36"/>
          <w:szCs w:val="44"/>
          <w:lang w:val="en-US" w:eastAsia="zh-CN"/>
        </w:rPr>
      </w:pPr>
      <w:r>
        <w:rPr>
          <w:rFonts w:hint="eastAsia"/>
          <w:sz w:val="36"/>
          <w:szCs w:val="44"/>
          <w:lang w:val="en-US" w:eastAsia="zh-CN"/>
        </w:rPr>
        <w:t>3.1 动力电池回收技术</w:t>
      </w:r>
    </w:p>
    <w:p w14:paraId="1A088D22">
      <w:pPr>
        <w:ind w:firstLine="420" w:firstLineChars="0"/>
        <w:rPr>
          <w:rFonts w:hint="eastAsia"/>
          <w:sz w:val="24"/>
          <w:szCs w:val="32"/>
          <w:lang w:val="en-US" w:eastAsia="zh-CN"/>
        </w:rPr>
      </w:pPr>
      <w:r>
        <w:rPr>
          <w:rFonts w:hint="eastAsia"/>
          <w:sz w:val="24"/>
          <w:szCs w:val="32"/>
          <w:lang w:val="en-US" w:eastAsia="zh-CN"/>
        </w:rPr>
        <w:t>预计到2025年末，我国退役动力电池总量将突破80万吨，而到2028年这一数字将攀升至260万吨，标志着动力电池即将进入大规模退役阶段。到2030年，动力电池回收市场的规模有望突破千亿大关。作为新能源汽车的核心动力来源，动力电池通过电化学反应实现电能与化学能之间的转换。当前，新能源汽车主要采用镍钴锰（NCM）三元电池和磷酸铁锂（LFP）电池，因此动力电池回收技术主要围绕锂离子电池系统展开。根据工信部发布的《新能源汽车废旧动力蓄电池综合利用行业规范条件（2019年本）》，动力电池的综合利用方式主要包括梯次利用和再生利用</w:t>
      </w:r>
      <w:r>
        <w:rPr>
          <w:rFonts w:hint="eastAsia"/>
          <w:sz w:val="24"/>
          <w:szCs w:val="32"/>
          <w:vertAlign w:val="superscript"/>
          <w:lang w:val="en-US" w:eastAsia="zh-CN"/>
        </w:rPr>
        <w:fldChar w:fldCharType="begin"/>
      </w:r>
      <w:r>
        <w:rPr>
          <w:rFonts w:hint="eastAsia"/>
          <w:sz w:val="24"/>
          <w:szCs w:val="32"/>
          <w:vertAlign w:val="superscript"/>
          <w:lang w:val="en-US" w:eastAsia="zh-CN"/>
        </w:rPr>
        <w:instrText xml:space="preserve"> REF _Ref11985 \w \h </w:instrText>
      </w:r>
      <w:r>
        <w:rPr>
          <w:rFonts w:hint="eastAsia"/>
          <w:sz w:val="24"/>
          <w:szCs w:val="32"/>
          <w:vertAlign w:val="superscript"/>
          <w:lang w:val="en-US" w:eastAsia="zh-CN"/>
        </w:rPr>
        <w:fldChar w:fldCharType="separate"/>
      </w:r>
      <w:r>
        <w:rPr>
          <w:rFonts w:hint="eastAsia"/>
          <w:sz w:val="24"/>
          <w:szCs w:val="32"/>
          <w:vertAlign w:val="superscript"/>
          <w:lang w:val="en-US" w:eastAsia="zh-CN"/>
        </w:rPr>
        <w:t>[1]</w:t>
      </w:r>
      <w:r>
        <w:rPr>
          <w:rFonts w:hint="eastAsia"/>
          <w:sz w:val="24"/>
          <w:szCs w:val="32"/>
          <w:vertAlign w:val="superscript"/>
          <w:lang w:val="en-US" w:eastAsia="zh-CN"/>
        </w:rPr>
        <w:fldChar w:fldCharType="end"/>
      </w:r>
      <w:r>
        <w:rPr>
          <w:rFonts w:hint="eastAsia"/>
          <w:sz w:val="24"/>
          <w:szCs w:val="32"/>
          <w:lang w:val="en-US" w:eastAsia="zh-CN"/>
        </w:rPr>
        <w:t>。其中，退役磷酸铁锂电池是否适合梯次利用及其应用范围主要取决于电池的剩余容量。当剩余容量介于30%至80%时，电池可进行梯次利用；若容量低于30%，则不再满足梯次利用条件，需进行拆解回收</w:t>
      </w:r>
      <w:r>
        <w:rPr>
          <w:rFonts w:hint="eastAsia"/>
          <w:sz w:val="24"/>
          <w:szCs w:val="32"/>
          <w:highlight w:val="none"/>
          <w:lang w:val="en-US" w:eastAsia="zh-CN"/>
        </w:rPr>
        <w:fldChar w:fldCharType="begin"/>
      </w:r>
      <w:r>
        <w:rPr>
          <w:rFonts w:hint="eastAsia"/>
          <w:sz w:val="24"/>
          <w:szCs w:val="32"/>
          <w:highlight w:val="none"/>
          <w:lang w:val="en-US" w:eastAsia="zh-CN"/>
        </w:rPr>
        <w:instrText xml:space="preserve"> REF _Ref12099 \w \h </w:instrText>
      </w:r>
      <w:r>
        <w:rPr>
          <w:rFonts w:hint="eastAsia"/>
          <w:sz w:val="24"/>
          <w:szCs w:val="32"/>
          <w:highlight w:val="none"/>
          <w:lang w:val="en-US" w:eastAsia="zh-CN"/>
        </w:rPr>
        <w:fldChar w:fldCharType="separate"/>
      </w:r>
      <w:r>
        <w:rPr>
          <w:rFonts w:hint="eastAsia"/>
          <w:sz w:val="24"/>
          <w:szCs w:val="32"/>
          <w:highlight w:val="none"/>
          <w:lang w:val="en-US" w:eastAsia="zh-CN"/>
        </w:rPr>
        <w:t>[2]</w:t>
      </w:r>
      <w:r>
        <w:rPr>
          <w:rFonts w:hint="eastAsia"/>
          <w:sz w:val="24"/>
          <w:szCs w:val="32"/>
          <w:highlight w:val="none"/>
          <w:lang w:val="en-US" w:eastAsia="zh-CN"/>
        </w:rPr>
        <w:fldChar w:fldCharType="end"/>
      </w:r>
      <w:r>
        <w:rPr>
          <w:rFonts w:hint="eastAsia"/>
          <w:sz w:val="24"/>
          <w:szCs w:val="32"/>
          <w:highlight w:val="none"/>
          <w:lang w:val="en-US" w:eastAsia="zh-CN"/>
        </w:rPr>
        <w:fldChar w:fldCharType="begin"/>
      </w:r>
      <w:r>
        <w:rPr>
          <w:rFonts w:hint="eastAsia"/>
          <w:sz w:val="24"/>
          <w:szCs w:val="32"/>
          <w:highlight w:val="none"/>
          <w:lang w:val="en-US" w:eastAsia="zh-CN"/>
        </w:rPr>
        <w:instrText xml:space="preserve"> REF _Ref12109 \w \h </w:instrText>
      </w:r>
      <w:r>
        <w:rPr>
          <w:rFonts w:hint="eastAsia"/>
          <w:sz w:val="24"/>
          <w:szCs w:val="32"/>
          <w:highlight w:val="none"/>
          <w:lang w:val="en-US" w:eastAsia="zh-CN"/>
        </w:rPr>
        <w:fldChar w:fldCharType="separate"/>
      </w:r>
      <w:r>
        <w:rPr>
          <w:rFonts w:hint="eastAsia"/>
          <w:sz w:val="24"/>
          <w:szCs w:val="32"/>
          <w:highlight w:val="none"/>
          <w:lang w:val="en-US" w:eastAsia="zh-CN"/>
        </w:rPr>
        <w:t>[3]</w:t>
      </w:r>
      <w:r>
        <w:rPr>
          <w:rFonts w:hint="eastAsia"/>
          <w:sz w:val="24"/>
          <w:szCs w:val="32"/>
          <w:highlight w:val="none"/>
          <w:lang w:val="en-US" w:eastAsia="zh-CN"/>
        </w:rPr>
        <w:fldChar w:fldCharType="end"/>
      </w:r>
      <w:r>
        <w:rPr>
          <w:rFonts w:hint="eastAsia"/>
          <w:sz w:val="24"/>
          <w:szCs w:val="32"/>
          <w:lang w:val="en-US" w:eastAsia="zh-CN"/>
        </w:rPr>
        <w:t>。</w:t>
      </w:r>
    </w:p>
    <w:p w14:paraId="040AA26F">
      <w:pPr>
        <w:ind w:firstLine="420" w:firstLineChars="0"/>
        <w:jc w:val="center"/>
      </w:pPr>
      <w:r>
        <w:drawing>
          <wp:inline distT="0" distB="0" distL="114300" distR="114300">
            <wp:extent cx="3855720" cy="191071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3855720" cy="1910715"/>
                    </a:xfrm>
                    <a:prstGeom prst="rect">
                      <a:avLst/>
                    </a:prstGeom>
                    <a:noFill/>
                    <a:ln>
                      <a:noFill/>
                    </a:ln>
                  </pic:spPr>
                </pic:pic>
              </a:graphicData>
            </a:graphic>
          </wp:inline>
        </w:drawing>
      </w:r>
    </w:p>
    <w:p w14:paraId="1610ED19">
      <w:pPr>
        <w:ind w:firstLine="420" w:firstLineChars="0"/>
        <w:jc w:val="center"/>
        <w:rPr>
          <w:rFonts w:hint="eastAsia"/>
          <w:lang w:val="en-US" w:eastAsia="zh-CN"/>
        </w:rPr>
      </w:pPr>
      <w:r>
        <w:rPr>
          <w:rFonts w:hint="eastAsia"/>
          <w:lang w:val="en-US" w:eastAsia="zh-CN"/>
        </w:rPr>
        <w:t>图1 动力电池全生命周期</w:t>
      </w:r>
      <w:r>
        <w:rPr>
          <w:rFonts w:hint="eastAsia"/>
          <w:sz w:val="24"/>
          <w:szCs w:val="32"/>
          <w:vertAlign w:val="superscript"/>
          <w:lang w:val="en-US" w:eastAsia="zh-CN"/>
        </w:rPr>
        <w:fldChar w:fldCharType="begin"/>
      </w:r>
      <w:r>
        <w:rPr>
          <w:rFonts w:hint="eastAsia"/>
          <w:sz w:val="24"/>
          <w:szCs w:val="32"/>
          <w:vertAlign w:val="superscript"/>
          <w:lang w:val="en-US" w:eastAsia="zh-CN"/>
        </w:rPr>
        <w:instrText xml:space="preserve"> REF _Ref11985 \w \h </w:instrText>
      </w:r>
      <w:r>
        <w:rPr>
          <w:rFonts w:hint="eastAsia"/>
          <w:sz w:val="24"/>
          <w:szCs w:val="32"/>
          <w:vertAlign w:val="superscript"/>
          <w:lang w:val="en-US" w:eastAsia="zh-CN"/>
        </w:rPr>
        <w:fldChar w:fldCharType="separate"/>
      </w:r>
      <w:r>
        <w:rPr>
          <w:rFonts w:hint="eastAsia"/>
          <w:sz w:val="24"/>
          <w:szCs w:val="32"/>
          <w:vertAlign w:val="superscript"/>
          <w:lang w:val="en-US" w:eastAsia="zh-CN"/>
        </w:rPr>
        <w:t>[1]</w:t>
      </w:r>
      <w:r>
        <w:rPr>
          <w:rFonts w:hint="eastAsia"/>
          <w:sz w:val="24"/>
          <w:szCs w:val="32"/>
          <w:vertAlign w:val="superscript"/>
          <w:lang w:val="en-US" w:eastAsia="zh-CN"/>
        </w:rPr>
        <w:fldChar w:fldCharType="end"/>
      </w:r>
    </w:p>
    <w:p w14:paraId="23BB70F5">
      <w:pPr>
        <w:rPr>
          <w:rFonts w:hint="eastAsia"/>
          <w:sz w:val="24"/>
          <w:szCs w:val="32"/>
          <w:lang w:val="en-US" w:eastAsia="zh-CN"/>
        </w:rPr>
      </w:pPr>
    </w:p>
    <w:p w14:paraId="21BC0715">
      <w:pPr>
        <w:rPr>
          <w:rFonts w:hint="eastAsia"/>
          <w:sz w:val="24"/>
          <w:szCs w:val="32"/>
          <w:lang w:val="en-US" w:eastAsia="zh-CN"/>
        </w:rPr>
      </w:pPr>
      <w:r>
        <w:rPr>
          <w:rFonts w:hint="eastAsia"/>
          <w:sz w:val="24"/>
          <w:szCs w:val="32"/>
          <w:lang w:val="en-US" w:eastAsia="zh-CN"/>
        </w:rPr>
        <w:t>3.1.1 动力电池递次利用</w:t>
      </w:r>
    </w:p>
    <w:p w14:paraId="74503E15">
      <w:pPr>
        <w:ind w:firstLine="420" w:firstLineChars="0"/>
        <w:rPr>
          <w:rFonts w:hint="default"/>
          <w:sz w:val="24"/>
          <w:szCs w:val="32"/>
          <w:lang w:val="en-US" w:eastAsia="zh-CN"/>
        </w:rPr>
      </w:pPr>
      <w:r>
        <w:rPr>
          <w:rFonts w:hint="default"/>
          <w:sz w:val="24"/>
          <w:szCs w:val="32"/>
          <w:lang w:val="en-US" w:eastAsia="zh-CN"/>
        </w:rPr>
        <w:t>梯次利用是指对废旧动力蓄电池进行必要的检验检测、分类、拆分、电池修复或重组为梯次产品，使其可应用至其他领域</w:t>
      </w:r>
      <w:r>
        <w:rPr>
          <w:rFonts w:hint="eastAsia"/>
          <w:sz w:val="24"/>
          <w:szCs w:val="32"/>
          <w:lang w:val="en-US" w:eastAsia="zh-CN"/>
        </w:rPr>
        <w:t>，如</w:t>
      </w:r>
      <w:r>
        <w:rPr>
          <w:rFonts w:hint="default"/>
          <w:sz w:val="24"/>
          <w:szCs w:val="32"/>
          <w:lang w:val="en-US" w:eastAsia="zh-CN"/>
        </w:rPr>
        <w:t>储能系统、低速电动车等的过程。磷酸铁锂电池因其循环寿命长、安全性高，成为梯次利用的主要对象。梯次利用的关键技术包括电池健康状态评估、重组技术及安全性保障。梯次利用已经退役的动力电池，可延长电池使用寿命，充分发挥其剩余价值，促进新能源消纳，能够缓解当前电池退役体量大而导致的回收压力，降低电动汽车的产业成本，带动新能源汽车行业的发展。</w:t>
      </w:r>
    </w:p>
    <w:p w14:paraId="07AB1122">
      <w:pPr>
        <w:ind w:firstLine="420" w:firstLineChars="0"/>
        <w:rPr>
          <w:rFonts w:hint="default"/>
          <w:sz w:val="24"/>
          <w:szCs w:val="32"/>
          <w:lang w:val="en-US" w:eastAsia="zh-CN"/>
        </w:rPr>
      </w:pPr>
      <w:r>
        <w:rPr>
          <w:rFonts w:hint="default"/>
          <w:sz w:val="24"/>
          <w:szCs w:val="32"/>
          <w:lang w:val="en-US" w:eastAsia="zh-CN"/>
        </w:rPr>
        <w:t>梯次利用根据电池容量的衰减程度分为不同阶段：</w:t>
      </w:r>
      <w:commentRangeStart w:id="0"/>
      <w:r>
        <w:rPr>
          <w:rFonts w:hint="default"/>
          <w:sz w:val="24"/>
          <w:szCs w:val="32"/>
          <w:highlight w:val="cyan"/>
          <w:lang w:val="en-US" w:eastAsia="zh-CN"/>
        </w:rPr>
        <w:t>容量≥80%的电池仍可继续用于电动汽车；容量</w:t>
      </w:r>
      <w:r>
        <w:rPr>
          <w:rFonts w:hint="eastAsia"/>
          <w:sz w:val="24"/>
          <w:szCs w:val="32"/>
          <w:highlight w:val="cyan"/>
          <w:lang w:val="en-US" w:eastAsia="zh-CN"/>
        </w:rPr>
        <w:t>介于</w:t>
      </w:r>
      <w:r>
        <w:rPr>
          <w:rFonts w:hint="default"/>
          <w:sz w:val="24"/>
          <w:szCs w:val="32"/>
          <w:highlight w:val="cyan"/>
          <w:lang w:val="en-US" w:eastAsia="zh-CN"/>
        </w:rPr>
        <w:t>60%-80%的电池可重组后应用于储能系统、低速电动车或家庭储能设备；容量</w:t>
      </w:r>
      <w:r>
        <w:rPr>
          <w:rFonts w:hint="eastAsia"/>
          <w:sz w:val="24"/>
          <w:szCs w:val="32"/>
          <w:highlight w:val="cyan"/>
          <w:lang w:val="en-US" w:eastAsia="zh-CN"/>
        </w:rPr>
        <w:t>介于3</w:t>
      </w:r>
      <w:r>
        <w:rPr>
          <w:rFonts w:hint="default"/>
          <w:sz w:val="24"/>
          <w:szCs w:val="32"/>
          <w:highlight w:val="cyan"/>
          <w:lang w:val="en-US" w:eastAsia="zh-CN"/>
        </w:rPr>
        <w:t>0%-60%的电池需拆解为单体电池，通过串并联重组后用于微电网或用户侧储能；容量</w:t>
      </w:r>
      <w:r>
        <w:rPr>
          <w:rFonts w:hint="eastAsia"/>
          <w:sz w:val="24"/>
          <w:szCs w:val="32"/>
          <w:highlight w:val="cyan"/>
          <w:lang w:val="en-US" w:eastAsia="zh-CN"/>
        </w:rPr>
        <w:t>小于3</w:t>
      </w:r>
      <w:r>
        <w:rPr>
          <w:rFonts w:hint="default"/>
          <w:sz w:val="24"/>
          <w:szCs w:val="32"/>
          <w:highlight w:val="cyan"/>
          <w:lang w:val="en-US" w:eastAsia="zh-CN"/>
        </w:rPr>
        <w:t>0%的电池则进入拆解回收阶段，提取锂、钴、镍等稀有金属资源。</w:t>
      </w:r>
      <w:commentRangeEnd w:id="0"/>
      <w:r>
        <w:commentReference w:id="0"/>
      </w:r>
      <w:r>
        <w:rPr>
          <w:rFonts w:hint="default"/>
          <w:sz w:val="24"/>
          <w:szCs w:val="32"/>
          <w:lang w:val="en-US" w:eastAsia="zh-CN"/>
        </w:rPr>
        <w:t>技术处理流程包括拆解与检测、筛选与修复、重组与集成以及应用验证，确保电池的安全性和稳定性。梯次电池的主要应用场景包括储能领域（如储能电站、通信基站备用电源）、低速交通工具（如电动叉车、低速电动车）以及分布式能源系统（如家庭储能、风光互补路灯）。</w:t>
      </w:r>
    </w:p>
    <w:p w14:paraId="069A0E5B">
      <w:pPr>
        <w:ind w:firstLine="420" w:firstLineChars="0"/>
        <w:rPr>
          <w:rFonts w:hint="default"/>
          <w:sz w:val="24"/>
          <w:szCs w:val="32"/>
          <w:lang w:val="en-US" w:eastAsia="zh-CN"/>
        </w:rPr>
      </w:pPr>
      <w:r>
        <w:rPr>
          <w:rFonts w:hint="default"/>
          <w:sz w:val="24"/>
          <w:szCs w:val="32"/>
          <w:lang w:val="en-US" w:eastAsia="zh-CN"/>
        </w:rPr>
        <w:t>自2015年起，大众汽车集团开始在中国积极探索电池的回收与再利用，在退役电池梯次利用方面，大众汽车集团（中国）已与江苏华友共同推出低速两轮车梯次电池以及移动储能系统等项目试点</w:t>
      </w:r>
      <w:r>
        <w:rPr>
          <w:rFonts w:hint="default"/>
          <w:sz w:val="24"/>
          <w:szCs w:val="32"/>
          <w:lang w:val="en-US" w:eastAsia="zh-CN"/>
        </w:rPr>
        <w:fldChar w:fldCharType="begin"/>
      </w:r>
      <w:r>
        <w:rPr>
          <w:rFonts w:hint="default"/>
          <w:sz w:val="24"/>
          <w:szCs w:val="32"/>
          <w:lang w:val="en-US" w:eastAsia="zh-CN"/>
        </w:rPr>
        <w:instrText xml:space="preserve"> REF _Ref12302 \w \h </w:instrText>
      </w:r>
      <w:r>
        <w:rPr>
          <w:rFonts w:hint="default"/>
          <w:sz w:val="24"/>
          <w:szCs w:val="32"/>
          <w:lang w:val="en-US" w:eastAsia="zh-CN"/>
        </w:rPr>
        <w:fldChar w:fldCharType="separate"/>
      </w:r>
      <w:r>
        <w:rPr>
          <w:rFonts w:hint="default"/>
          <w:sz w:val="24"/>
          <w:szCs w:val="32"/>
          <w:lang w:val="en-US" w:eastAsia="zh-CN"/>
        </w:rPr>
        <w:t>[4]</w:t>
      </w:r>
      <w:r>
        <w:rPr>
          <w:rFonts w:hint="default"/>
          <w:sz w:val="24"/>
          <w:szCs w:val="32"/>
          <w:lang w:val="en-US" w:eastAsia="zh-CN"/>
        </w:rPr>
        <w:fldChar w:fldCharType="end"/>
      </w:r>
      <w:r>
        <w:rPr>
          <w:rFonts w:hint="default"/>
          <w:sz w:val="24"/>
          <w:szCs w:val="32"/>
          <w:lang w:val="en-US" w:eastAsia="zh-CN"/>
        </w:rPr>
        <w:t>；比亚迪通过技术手段，让废旧电池在梯次利用中用于储存和释放电能，同时积极探索电池材料的循环利用，通过回收废旧电池中的金属原材料，将其再次应用于新电池制造过程；福田汽车控股子公司与巴特瑞科技有限公司合作，开发利用废旧电芯和极片等电池资源，共建退役动力电池回收网，依托相关产业链，建立规范、方便的动力电池回收渠道。</w:t>
      </w:r>
    </w:p>
    <w:p w14:paraId="4FD498F9">
      <w:pPr>
        <w:ind w:firstLine="42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825240" cy="2023110"/>
            <wp:effectExtent l="0" t="0" r="0" b="381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7"/>
                    <a:stretch>
                      <a:fillRect/>
                    </a:stretch>
                  </pic:blipFill>
                  <pic:spPr>
                    <a:xfrm>
                      <a:off x="0" y="0"/>
                      <a:ext cx="3825240" cy="2023110"/>
                    </a:xfrm>
                    <a:prstGeom prst="rect">
                      <a:avLst/>
                    </a:prstGeom>
                    <a:noFill/>
                    <a:ln w="9525">
                      <a:noFill/>
                    </a:ln>
                  </pic:spPr>
                </pic:pic>
              </a:graphicData>
            </a:graphic>
          </wp:inline>
        </w:drawing>
      </w:r>
    </w:p>
    <w:p w14:paraId="62C66540">
      <w:pPr>
        <w:ind w:firstLine="420" w:firstLineChars="0"/>
        <w:jc w:val="center"/>
        <w:rPr>
          <w:rFonts w:hint="default"/>
          <w:sz w:val="24"/>
          <w:szCs w:val="32"/>
          <w:lang w:val="en-US" w:eastAsia="zh-CN"/>
        </w:rPr>
      </w:pPr>
      <w:r>
        <w:rPr>
          <w:rFonts w:hint="eastAsia"/>
          <w:lang w:val="en-US" w:eastAsia="zh-CN"/>
        </w:rPr>
        <w:t>图2 大众汽车集团（中国）携手江苏华友拓展动力电池梯次利用</w:t>
      </w:r>
      <w:r>
        <w:rPr>
          <w:rFonts w:hint="default"/>
          <w:sz w:val="24"/>
          <w:szCs w:val="32"/>
          <w:vertAlign w:val="superscript"/>
          <w:lang w:val="en-US" w:eastAsia="zh-CN"/>
        </w:rPr>
        <w:fldChar w:fldCharType="begin"/>
      </w:r>
      <w:r>
        <w:rPr>
          <w:rFonts w:hint="default"/>
          <w:sz w:val="24"/>
          <w:szCs w:val="32"/>
          <w:vertAlign w:val="superscript"/>
          <w:lang w:val="en-US" w:eastAsia="zh-CN"/>
        </w:rPr>
        <w:instrText xml:space="preserve"> REF _Ref12302 \w \h </w:instrText>
      </w:r>
      <w:r>
        <w:rPr>
          <w:rFonts w:hint="default"/>
          <w:sz w:val="24"/>
          <w:szCs w:val="32"/>
          <w:vertAlign w:val="superscript"/>
          <w:lang w:val="en-US" w:eastAsia="zh-CN"/>
        </w:rPr>
        <w:fldChar w:fldCharType="separate"/>
      </w:r>
      <w:r>
        <w:rPr>
          <w:rFonts w:hint="default"/>
          <w:sz w:val="24"/>
          <w:szCs w:val="32"/>
          <w:vertAlign w:val="superscript"/>
          <w:lang w:val="en-US" w:eastAsia="zh-CN"/>
        </w:rPr>
        <w:t>[4]</w:t>
      </w:r>
      <w:r>
        <w:rPr>
          <w:rFonts w:hint="default"/>
          <w:sz w:val="24"/>
          <w:szCs w:val="32"/>
          <w:vertAlign w:val="superscript"/>
          <w:lang w:val="en-US" w:eastAsia="zh-CN"/>
        </w:rPr>
        <w:fldChar w:fldCharType="end"/>
      </w:r>
    </w:p>
    <w:p w14:paraId="15C9D8AD">
      <w:pPr>
        <w:ind w:firstLine="420" w:firstLineChars="0"/>
        <w:rPr>
          <w:rFonts w:hint="default"/>
          <w:sz w:val="24"/>
          <w:szCs w:val="32"/>
          <w:lang w:val="en-US" w:eastAsia="zh-CN"/>
        </w:rPr>
      </w:pPr>
    </w:p>
    <w:p w14:paraId="365E5E45">
      <w:pPr>
        <w:rPr>
          <w:rFonts w:hint="eastAsia"/>
          <w:sz w:val="24"/>
          <w:szCs w:val="32"/>
          <w:lang w:val="en-US" w:eastAsia="zh-CN"/>
        </w:rPr>
      </w:pPr>
      <w:r>
        <w:rPr>
          <w:rFonts w:hint="eastAsia"/>
          <w:sz w:val="24"/>
          <w:szCs w:val="32"/>
          <w:lang w:val="en-US" w:eastAsia="zh-CN"/>
        </w:rPr>
        <w:t>3.1.2 动力电池再生利用</w:t>
      </w:r>
    </w:p>
    <w:p w14:paraId="5B8C84AE">
      <w:pPr>
        <w:ind w:firstLine="420" w:firstLineChars="0"/>
        <w:rPr>
          <w:rFonts w:hint="eastAsia"/>
          <w:sz w:val="24"/>
          <w:szCs w:val="32"/>
          <w:lang w:val="en-US" w:eastAsia="zh-CN"/>
        </w:rPr>
      </w:pPr>
      <w:r>
        <w:rPr>
          <w:rFonts w:hint="eastAsia"/>
          <w:sz w:val="24"/>
          <w:szCs w:val="32"/>
          <w:lang w:val="en-US" w:eastAsia="zh-CN"/>
        </w:rPr>
        <w:t>对于动力电池再生利用模式，正极价值量高，是当前主要的回收重点。目前正极材料的再生利用方法主要有目前干法回收工艺、湿法回收工艺和生物回收工艺物理回收</w:t>
      </w:r>
      <w:r>
        <w:rPr>
          <w:rFonts w:hint="eastAsia"/>
          <w:sz w:val="24"/>
          <w:szCs w:val="32"/>
          <w:vertAlign w:val="superscript"/>
          <w:lang w:val="en-US" w:eastAsia="zh-CN"/>
        </w:rPr>
        <w:fldChar w:fldCharType="begin"/>
      </w:r>
      <w:r>
        <w:rPr>
          <w:rFonts w:hint="eastAsia"/>
          <w:sz w:val="24"/>
          <w:szCs w:val="32"/>
          <w:vertAlign w:val="superscript"/>
          <w:lang w:val="en-US" w:eastAsia="zh-CN"/>
        </w:rPr>
        <w:instrText xml:space="preserve"> REF _Ref12351 \w \h </w:instrText>
      </w:r>
      <w:r>
        <w:rPr>
          <w:rFonts w:hint="eastAsia"/>
          <w:sz w:val="24"/>
          <w:szCs w:val="32"/>
          <w:vertAlign w:val="superscript"/>
          <w:lang w:val="en-US" w:eastAsia="zh-CN"/>
        </w:rPr>
        <w:fldChar w:fldCharType="separate"/>
      </w:r>
      <w:r>
        <w:rPr>
          <w:rFonts w:hint="eastAsia"/>
          <w:sz w:val="24"/>
          <w:szCs w:val="32"/>
          <w:vertAlign w:val="superscript"/>
          <w:lang w:val="en-US" w:eastAsia="zh-CN"/>
        </w:rPr>
        <w:t>[5]</w:t>
      </w:r>
      <w:r>
        <w:rPr>
          <w:rFonts w:hint="eastAsia"/>
          <w:sz w:val="24"/>
          <w:szCs w:val="32"/>
          <w:vertAlign w:val="superscript"/>
          <w:lang w:val="en-US" w:eastAsia="zh-CN"/>
        </w:rPr>
        <w:fldChar w:fldCharType="end"/>
      </w:r>
      <w:r>
        <w:rPr>
          <w:rFonts w:hint="eastAsia"/>
          <w:sz w:val="24"/>
          <w:szCs w:val="32"/>
          <w:lang w:val="en-US" w:eastAsia="zh-CN"/>
        </w:rPr>
        <w:t>，三种方法的核心区别在于提取金属的关键工艺不同。对于负极、电解液和隔膜等价值相对较低主材的再生利用，产业化进程正在逐步推进。经测算，三元电池拆解再生比磷酸铁锂电池更具有市场经济竞争性。</w:t>
      </w:r>
    </w:p>
    <w:p w14:paraId="7E8F5405">
      <w:pPr>
        <w:ind w:firstLine="420" w:firstLineChars="0"/>
      </w:pPr>
    </w:p>
    <w:p w14:paraId="35712CC8">
      <w:pPr>
        <w:ind w:firstLine="420" w:firstLineChars="0"/>
        <w:rPr>
          <w:rFonts w:hint="eastAsia"/>
          <w:sz w:val="24"/>
          <w:szCs w:val="32"/>
          <w:lang w:val="en-US" w:eastAsia="zh-CN"/>
        </w:rPr>
      </w:pPr>
      <w:r>
        <w:drawing>
          <wp:inline distT="0" distB="0" distL="114300" distR="114300">
            <wp:extent cx="5268595" cy="1612900"/>
            <wp:effectExtent l="0" t="0" r="4445" b="254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8"/>
                    <a:stretch>
                      <a:fillRect/>
                    </a:stretch>
                  </pic:blipFill>
                  <pic:spPr>
                    <a:xfrm>
                      <a:off x="0" y="0"/>
                      <a:ext cx="5268595" cy="1612900"/>
                    </a:xfrm>
                    <a:prstGeom prst="rect">
                      <a:avLst/>
                    </a:prstGeom>
                    <a:noFill/>
                    <a:ln>
                      <a:noFill/>
                    </a:ln>
                  </pic:spPr>
                </pic:pic>
              </a:graphicData>
            </a:graphic>
          </wp:inline>
        </w:drawing>
      </w:r>
    </w:p>
    <w:p w14:paraId="43E05116">
      <w:pPr>
        <w:ind w:firstLine="420" w:firstLineChars="0"/>
        <w:jc w:val="center"/>
        <w:rPr>
          <w:rFonts w:hint="eastAsia"/>
          <w:vertAlign w:val="superscript"/>
          <w:lang w:val="en-US" w:eastAsia="zh-CN"/>
        </w:rPr>
      </w:pPr>
      <w:r>
        <w:rPr>
          <w:rFonts w:hint="eastAsia"/>
          <w:lang w:val="en-US" w:eastAsia="zh-CN"/>
        </w:rPr>
        <w:t>图3 磷酸铁锂动力电池湿法回收工艺流程图</w:t>
      </w:r>
      <w:r>
        <w:rPr>
          <w:rFonts w:hint="eastAsia"/>
          <w:vertAlign w:val="superscript"/>
          <w:lang w:val="en-US" w:eastAsia="zh-CN"/>
        </w:rPr>
        <w:fldChar w:fldCharType="begin"/>
      </w:r>
      <w:r>
        <w:rPr>
          <w:rFonts w:hint="eastAsia"/>
          <w:vertAlign w:val="superscript"/>
          <w:lang w:val="en-US" w:eastAsia="zh-CN"/>
        </w:rPr>
        <w:instrText xml:space="preserve"> REF _Ref1110 \w \h </w:instrText>
      </w:r>
      <w:r>
        <w:rPr>
          <w:rFonts w:hint="eastAsia"/>
          <w:vertAlign w:val="superscript"/>
          <w:lang w:val="en-US" w:eastAsia="zh-CN"/>
        </w:rPr>
        <w:fldChar w:fldCharType="separate"/>
      </w:r>
      <w:r>
        <w:rPr>
          <w:rFonts w:hint="eastAsia"/>
          <w:vertAlign w:val="superscript"/>
          <w:lang w:val="en-US" w:eastAsia="zh-CN"/>
        </w:rPr>
        <w:t>[6]</w:t>
      </w:r>
      <w:r>
        <w:rPr>
          <w:rFonts w:hint="eastAsia"/>
          <w:vertAlign w:val="superscript"/>
          <w:lang w:val="en-US" w:eastAsia="zh-CN"/>
        </w:rPr>
        <w:fldChar w:fldCharType="end"/>
      </w:r>
    </w:p>
    <w:p w14:paraId="2913EE8A">
      <w:pPr>
        <w:ind w:firstLine="420" w:firstLineChars="0"/>
        <w:jc w:val="center"/>
      </w:pPr>
      <w:r>
        <w:drawing>
          <wp:inline distT="0" distB="0" distL="114300" distR="114300">
            <wp:extent cx="2804160" cy="2589530"/>
            <wp:effectExtent l="0" t="0" r="0" b="127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9"/>
                    <a:stretch>
                      <a:fillRect/>
                    </a:stretch>
                  </pic:blipFill>
                  <pic:spPr>
                    <a:xfrm>
                      <a:off x="0" y="0"/>
                      <a:ext cx="2804160" cy="2589530"/>
                    </a:xfrm>
                    <a:prstGeom prst="rect">
                      <a:avLst/>
                    </a:prstGeom>
                    <a:noFill/>
                    <a:ln>
                      <a:noFill/>
                    </a:ln>
                  </pic:spPr>
                </pic:pic>
              </a:graphicData>
            </a:graphic>
          </wp:inline>
        </w:drawing>
      </w:r>
    </w:p>
    <w:p w14:paraId="07613460">
      <w:pPr>
        <w:ind w:firstLine="420" w:firstLineChars="0"/>
        <w:jc w:val="center"/>
        <w:rPr>
          <w:rFonts w:hint="eastAsia"/>
          <w:vertAlign w:val="superscript"/>
          <w:lang w:val="en-US" w:eastAsia="zh-CN"/>
        </w:rPr>
      </w:pPr>
      <w:r>
        <w:rPr>
          <w:rFonts w:hint="eastAsia"/>
          <w:lang w:val="en-US" w:eastAsia="zh-CN"/>
        </w:rPr>
        <w:t>图4 镍氢动力电池干法回收工艺流程图</w:t>
      </w:r>
      <w:r>
        <w:rPr>
          <w:rFonts w:hint="eastAsia"/>
          <w:vertAlign w:val="superscript"/>
          <w:lang w:val="en-US" w:eastAsia="zh-CN"/>
        </w:rPr>
        <w:fldChar w:fldCharType="begin"/>
      </w:r>
      <w:r>
        <w:rPr>
          <w:rFonts w:hint="eastAsia"/>
          <w:vertAlign w:val="superscript"/>
          <w:lang w:val="en-US" w:eastAsia="zh-CN"/>
        </w:rPr>
        <w:instrText xml:space="preserve"> REF _Ref1110 \w \h </w:instrText>
      </w:r>
      <w:r>
        <w:rPr>
          <w:rFonts w:hint="eastAsia"/>
          <w:vertAlign w:val="superscript"/>
          <w:lang w:val="en-US" w:eastAsia="zh-CN"/>
        </w:rPr>
        <w:fldChar w:fldCharType="separate"/>
      </w:r>
      <w:r>
        <w:rPr>
          <w:rFonts w:hint="eastAsia"/>
          <w:vertAlign w:val="superscript"/>
          <w:lang w:val="en-US" w:eastAsia="zh-CN"/>
        </w:rPr>
        <w:t>[6]</w:t>
      </w:r>
      <w:r>
        <w:rPr>
          <w:rFonts w:hint="eastAsia"/>
          <w:vertAlign w:val="superscript"/>
          <w:lang w:val="en-US" w:eastAsia="zh-CN"/>
        </w:rPr>
        <w:fldChar w:fldCharType="end"/>
      </w:r>
    </w:p>
    <w:p w14:paraId="23EA3107">
      <w:pPr>
        <w:ind w:firstLine="420" w:firstLineChars="0"/>
        <w:jc w:val="center"/>
        <w:rPr>
          <w:rFonts w:hint="default"/>
          <w:lang w:val="en-US" w:eastAsia="zh-CN"/>
        </w:rPr>
      </w:pPr>
    </w:p>
    <w:p w14:paraId="2ABA99E4">
      <w:pPr>
        <w:ind w:firstLine="420" w:firstLineChars="0"/>
        <w:rPr>
          <w:rFonts w:hint="eastAsia"/>
          <w:sz w:val="24"/>
          <w:szCs w:val="32"/>
          <w:lang w:val="en-US" w:eastAsia="zh-CN"/>
        </w:rPr>
      </w:pPr>
      <w:r>
        <w:rPr>
          <w:rFonts w:hint="eastAsia"/>
          <w:sz w:val="24"/>
          <w:szCs w:val="32"/>
          <w:lang w:val="en-US" w:eastAsia="zh-CN"/>
        </w:rPr>
        <w:t>湿法冶金通过酸浸、碱浸等化学溶解手段分离金属元素，适用于成分相对单一的锂离子电池，其优势在于金属回收率高（如钴回收率可达85%-92%），但存在能耗高、废水废气处理复杂的问题。干法回收则采用物理分选或高温热解直接提取材料，例如通过机械破碎、磁选或高温熔融分离金属与非金属成分，虽然能耗较大，但设备投资较低且适用于中小规模处理，锂回收率可提升至95%以上。生物回收技术是一种利用微生物自身生命活动来提取有价金属元素的方法。可以将废旧动力电池中的贵重金属转化为可溶解的化合物,进而实现这些金属的有效提取</w:t>
      </w:r>
      <w:r>
        <w:rPr>
          <w:rFonts w:hint="eastAsia"/>
          <w:sz w:val="24"/>
          <w:szCs w:val="32"/>
          <w:vertAlign w:val="superscript"/>
          <w:lang w:val="en-US" w:eastAsia="zh-CN"/>
        </w:rPr>
        <w:fldChar w:fldCharType="begin"/>
      </w:r>
      <w:r>
        <w:rPr>
          <w:rFonts w:hint="eastAsia"/>
          <w:sz w:val="24"/>
          <w:szCs w:val="32"/>
          <w:vertAlign w:val="superscript"/>
          <w:lang w:val="en-US" w:eastAsia="zh-CN"/>
        </w:rPr>
        <w:instrText xml:space="preserve"> REF _Ref12406 \w \h </w:instrText>
      </w:r>
      <w:r>
        <w:rPr>
          <w:rFonts w:hint="eastAsia"/>
          <w:sz w:val="24"/>
          <w:szCs w:val="32"/>
          <w:vertAlign w:val="superscript"/>
          <w:lang w:val="en-US" w:eastAsia="zh-CN"/>
        </w:rPr>
        <w:fldChar w:fldCharType="separate"/>
      </w:r>
      <w:r>
        <w:rPr>
          <w:rFonts w:hint="eastAsia"/>
          <w:sz w:val="24"/>
          <w:szCs w:val="32"/>
          <w:vertAlign w:val="superscript"/>
          <w:lang w:val="en-US" w:eastAsia="zh-CN"/>
        </w:rPr>
        <w:t>[6]</w:t>
      </w:r>
      <w:r>
        <w:rPr>
          <w:rFonts w:hint="eastAsia"/>
          <w:sz w:val="24"/>
          <w:szCs w:val="32"/>
          <w:vertAlign w:val="superscript"/>
          <w:lang w:val="en-US" w:eastAsia="zh-CN"/>
        </w:rPr>
        <w:fldChar w:fldCharType="end"/>
      </w:r>
      <w:r>
        <w:rPr>
          <w:rFonts w:hint="eastAsia"/>
          <w:sz w:val="24"/>
          <w:szCs w:val="32"/>
          <w:lang w:val="en-US" w:eastAsia="zh-CN"/>
        </w:rPr>
        <w:t>。近年来，新兴技术如超声波辅助提取和微波辅助热处理进一步提升了回收效率，前者利用空化效应加速金属溶解，后者通过微波加热优化材料分离，锂回收率可达98%，同时减少污染排放。</w:t>
      </w:r>
    </w:p>
    <w:p w14:paraId="72270E4C">
      <w:pPr>
        <w:ind w:firstLine="420" w:firstLineChars="0"/>
        <w:rPr>
          <w:rFonts w:hint="eastAsia"/>
          <w:sz w:val="24"/>
          <w:szCs w:val="32"/>
          <w:lang w:val="en-US" w:eastAsia="zh-CN"/>
        </w:rPr>
      </w:pPr>
      <w:r>
        <w:rPr>
          <w:rFonts w:hint="eastAsia"/>
          <w:sz w:val="24"/>
          <w:szCs w:val="32"/>
          <w:lang w:val="en-US" w:eastAsia="zh-CN"/>
        </w:rPr>
        <w:t>技术方面,湿法回收技术由于其高效性和成熟度,在业界已被广泛认可。 该技术能够有效提取动力电池中的贵重金属,且保持较高的材料纯度。 未来,随着废旧动力电池数量的预期激增,不断优化湿法回收流程、降低能耗及成本,以及探索生物回收等更多环保型技术将成为行业发展的重点。 同时,提升自动化拆解技术的研究与应用同样关键,这有助于提高回收效率及降低人工成本。 在政策方面,需要进一步完善和加强动力电池回收相关法规,增强行业监管,保证行业的健康和有序发展。 同时,通过实施财政补贴、税收减免等激励政策,可以有效促进企业和</w:t>
      </w:r>
    </w:p>
    <w:p w14:paraId="28E1515E">
      <w:pPr>
        <w:rPr>
          <w:rFonts w:hint="eastAsia"/>
          <w:sz w:val="24"/>
          <w:szCs w:val="32"/>
          <w:lang w:val="en-US" w:eastAsia="zh-CN"/>
        </w:rPr>
      </w:pPr>
      <w:r>
        <w:rPr>
          <w:rFonts w:hint="eastAsia"/>
          <w:sz w:val="24"/>
          <w:szCs w:val="32"/>
          <w:lang w:val="en-US" w:eastAsia="zh-CN"/>
        </w:rPr>
        <w:t>消费者积极参与回收过程。</w:t>
      </w:r>
    </w:p>
    <w:p w14:paraId="5F7E49DA">
      <w:pPr>
        <w:rPr>
          <w:rFonts w:hint="eastAsia"/>
          <w:sz w:val="24"/>
          <w:szCs w:val="32"/>
          <w:lang w:val="en-US" w:eastAsia="zh-CN"/>
        </w:rPr>
      </w:pPr>
    </w:p>
    <w:p w14:paraId="2419A432">
      <w:pPr>
        <w:rPr>
          <w:rFonts w:hint="eastAsia"/>
          <w:sz w:val="24"/>
          <w:szCs w:val="32"/>
          <w:lang w:val="en-US" w:eastAsia="zh-CN"/>
        </w:rPr>
      </w:pPr>
    </w:p>
    <w:p w14:paraId="7577B328">
      <w:pPr>
        <w:rPr>
          <w:rFonts w:hint="default"/>
          <w:sz w:val="24"/>
          <w:szCs w:val="32"/>
          <w:lang w:val="en-US" w:eastAsia="zh-CN"/>
        </w:rPr>
      </w:pPr>
      <w:r>
        <w:rPr>
          <w:rFonts w:hint="eastAsia"/>
          <w:sz w:val="24"/>
          <w:szCs w:val="32"/>
          <w:lang w:val="en-US" w:eastAsia="zh-CN"/>
        </w:rPr>
        <w:t>3.2动力电池回收政策</w:t>
      </w:r>
    </w:p>
    <w:p w14:paraId="4D690878">
      <w:pPr>
        <w:ind w:firstLine="420" w:firstLineChars="0"/>
        <w:rPr>
          <w:rFonts w:hint="eastAsia"/>
          <w:sz w:val="24"/>
          <w:szCs w:val="32"/>
          <w:lang w:val="en-US" w:eastAsia="zh-CN"/>
        </w:rPr>
      </w:pPr>
      <w:r>
        <w:rPr>
          <w:rFonts w:hint="eastAsia"/>
          <w:sz w:val="24"/>
          <w:szCs w:val="32"/>
          <w:lang w:val="en-US" w:eastAsia="zh-CN"/>
        </w:rPr>
        <w:t>2025年2月21日，国务院常务会议审议通过《健全新能源汽车动力电池回收利用体系行动方案》，标志着我国动力电池回收产业进入规范化、规模化发展的新阶段。该政策的核心目标是应对新能源汽车动力电池规模化退役带来的资源与环保挑战，通过强化全链条管理、数字化追溯和法治化监管，构建安全高效的回收体系。具体措施包括打通生产、销售、拆解、利用环节的堵点，运用数字化技术实现电池全生命周期流向监测和全程可追溯，同时通过修订行业规范条件、提高准入门槛（如企业注册资本、产能要求）以及制定绿色设计和碳足迹核算标准，推动技术创新和行业整合。政策还强调法治化手段，完善行政法规并加强动态监管，以遏制非法小作坊的“灰色操作”，提升规范化回收率（目前不足25%）</w:t>
      </w:r>
      <w:r>
        <w:rPr>
          <w:rFonts w:hint="eastAsia"/>
          <w:sz w:val="24"/>
          <w:szCs w:val="32"/>
          <w:vertAlign w:val="superscript"/>
          <w:lang w:val="en-US" w:eastAsia="zh-CN"/>
        </w:rPr>
        <w:fldChar w:fldCharType="begin"/>
      </w:r>
      <w:r>
        <w:rPr>
          <w:rFonts w:hint="eastAsia"/>
          <w:sz w:val="24"/>
          <w:szCs w:val="32"/>
          <w:vertAlign w:val="superscript"/>
          <w:lang w:val="en-US" w:eastAsia="zh-CN"/>
        </w:rPr>
        <w:instrText xml:space="preserve"> REF _Ref12442 \w \h </w:instrText>
      </w:r>
      <w:r>
        <w:rPr>
          <w:rFonts w:hint="eastAsia"/>
          <w:sz w:val="24"/>
          <w:szCs w:val="32"/>
          <w:vertAlign w:val="superscript"/>
          <w:lang w:val="en-US" w:eastAsia="zh-CN"/>
        </w:rPr>
        <w:fldChar w:fldCharType="separate"/>
      </w:r>
      <w:r>
        <w:rPr>
          <w:rFonts w:hint="eastAsia"/>
          <w:sz w:val="24"/>
          <w:szCs w:val="32"/>
          <w:vertAlign w:val="superscript"/>
          <w:lang w:val="en-US" w:eastAsia="zh-CN"/>
        </w:rPr>
        <w:t>[7]</w:t>
      </w:r>
      <w:r>
        <w:rPr>
          <w:rFonts w:hint="eastAsia"/>
          <w:sz w:val="24"/>
          <w:szCs w:val="32"/>
          <w:vertAlign w:val="superscript"/>
          <w:lang w:val="en-US" w:eastAsia="zh-CN"/>
        </w:rPr>
        <w:fldChar w:fldCharType="end"/>
      </w:r>
      <w:r>
        <w:rPr>
          <w:rFonts w:hint="eastAsia"/>
          <w:sz w:val="24"/>
          <w:szCs w:val="32"/>
          <w:lang w:val="en-US" w:eastAsia="zh-CN"/>
        </w:rPr>
        <w:t>。</w:t>
      </w:r>
    </w:p>
    <w:p w14:paraId="2091D67D">
      <w:pPr>
        <w:ind w:firstLine="420" w:firstLineChars="0"/>
        <w:rPr>
          <w:rFonts w:hint="eastAsia"/>
          <w:sz w:val="24"/>
          <w:szCs w:val="32"/>
          <w:lang w:val="en-US" w:eastAsia="zh-CN"/>
        </w:rPr>
      </w:pPr>
      <w:r>
        <w:rPr>
          <w:rFonts w:hint="eastAsia"/>
          <w:sz w:val="24"/>
          <w:szCs w:val="32"/>
          <w:lang w:val="en-US" w:eastAsia="zh-CN"/>
        </w:rPr>
        <w:t>政策的出台背景与动力电池退役高峰直接相关。数据显示，</w:t>
      </w:r>
      <w:bookmarkStart w:id="8" w:name="_GoBack"/>
      <w:r>
        <w:rPr>
          <w:rFonts w:hint="eastAsia"/>
          <w:sz w:val="24"/>
          <w:szCs w:val="32"/>
          <w:lang w:val="en-US" w:eastAsia="zh-CN"/>
        </w:rPr>
        <w:t>2023年我国退役动力电池达16.8万吨，预计到2030年累计退役量将超过300万吨</w:t>
      </w:r>
      <w:bookmarkEnd w:id="8"/>
      <w:r>
        <w:rPr>
          <w:rFonts w:hint="eastAsia"/>
          <w:sz w:val="24"/>
          <w:szCs w:val="32"/>
          <w:lang w:val="en-US" w:eastAsia="zh-CN"/>
        </w:rPr>
        <w:t>，市场规模或达1400亿元，较2022年增长近10倍。此外，工信部修订的《新能源汽车废旧动力电池综合利用行业规范条件（2024年本）》已于2025年1月实施，进一步细化梯次利用和再生利用的技术要求，并鼓励企业申报高新技术资质以提升工艺水平。地方层面也通过专项资金和税收优惠支持回收企业，形成国家与地方政策的协同效应。</w:t>
      </w:r>
    </w:p>
    <w:p w14:paraId="7DD63DD0">
      <w:pPr>
        <w:ind w:firstLine="420" w:firstLineChars="0"/>
        <w:rPr>
          <w:rFonts w:hint="eastAsia"/>
          <w:sz w:val="24"/>
          <w:szCs w:val="32"/>
          <w:lang w:val="en-US" w:eastAsia="zh-CN"/>
        </w:rPr>
      </w:pPr>
      <w:r>
        <w:rPr>
          <w:rFonts w:hint="eastAsia"/>
          <w:sz w:val="24"/>
          <w:szCs w:val="32"/>
          <w:lang w:val="en-US" w:eastAsia="zh-CN"/>
        </w:rPr>
        <w:t>在政策驱动下，行业格局加速向集约化转型。头部企业如格林美、宁德时代、晋景新能等凭借技术优势与全球布局抢占市场，例如格林美2023年回收拆解动力电池2.75万吨，锂回收率超95%，并与比亚迪、广汽等建立定向循环合作。同时，国际合作案例增多，如晋景新能与华友钴业合作拓展欧洲市场，国轩高科规划海外产能配套回收体系，进一步凸显政策对产业链全球化的推动作用。总体而言，政策通过“规范+激励”双轮驱动，旨在将动力电池回收从“边缘配套”升级为“核心战场”，实现资源安全与循环经济的双重目标。</w:t>
      </w:r>
    </w:p>
    <w:p w14:paraId="5197862E">
      <w:pPr>
        <w:ind w:firstLine="420" w:firstLineChars="0"/>
        <w:rPr>
          <w:rFonts w:hint="eastAsia"/>
          <w:sz w:val="24"/>
          <w:szCs w:val="32"/>
          <w:lang w:val="en-US" w:eastAsia="zh-CN"/>
        </w:rPr>
      </w:pPr>
    </w:p>
    <w:p w14:paraId="05A1C6BB">
      <w:pPr>
        <w:rPr>
          <w:rFonts w:hint="eastAsia"/>
          <w:sz w:val="36"/>
          <w:szCs w:val="44"/>
          <w:lang w:val="en-US" w:eastAsia="zh-CN"/>
        </w:rPr>
      </w:pPr>
    </w:p>
    <w:p w14:paraId="1244B555">
      <w:pPr>
        <w:rPr>
          <w:rFonts w:hint="eastAsia"/>
          <w:sz w:val="36"/>
          <w:szCs w:val="44"/>
          <w:lang w:val="en-US" w:eastAsia="zh-CN"/>
        </w:rPr>
      </w:pPr>
    </w:p>
    <w:p w14:paraId="3241ADD7">
      <w:pPr>
        <w:numPr>
          <w:ilvl w:val="0"/>
          <w:numId w:val="1"/>
        </w:numPr>
        <w:ind w:left="360" w:leftChars="0" w:hanging="360" w:firstLineChars="0"/>
        <w:rPr>
          <w:rFonts w:hint="default"/>
          <w:lang w:val="en-US" w:eastAsia="zh-CN"/>
        </w:rPr>
      </w:pPr>
      <w:bookmarkStart w:id="0" w:name="_Ref11985"/>
      <w:r>
        <w:rPr>
          <w:rFonts w:hint="default"/>
          <w:lang w:val="en-US" w:eastAsia="zh-CN"/>
        </w:rPr>
        <w:t>周伟，符冬菊，刘伟峰等.废旧磷酸铁锂动力电池回收利用研究进展[J].储能科学与技术，2022,11:1854-1864.</w:t>
      </w:r>
      <w:bookmarkEnd w:id="0"/>
    </w:p>
    <w:p w14:paraId="4FEC7D48">
      <w:pPr>
        <w:numPr>
          <w:ilvl w:val="0"/>
          <w:numId w:val="1"/>
        </w:numPr>
        <w:ind w:left="360" w:leftChars="0" w:hanging="360" w:firstLineChars="0"/>
        <w:rPr>
          <w:rFonts w:hint="default"/>
          <w:lang w:val="en-US" w:eastAsia="zh-CN"/>
        </w:rPr>
      </w:pPr>
      <w:bookmarkStart w:id="1" w:name="_Ref12099"/>
      <w:r>
        <w:rPr>
          <w:rFonts w:hint="default"/>
          <w:lang w:val="en-US" w:eastAsia="zh-CN"/>
        </w:rPr>
        <w:t>LIU Z W, LIU X L, HAO H, et al. Research on the critical issues</w:t>
      </w:r>
      <w:r>
        <w:rPr>
          <w:rFonts w:hint="eastAsia"/>
          <w:lang w:val="en-US" w:eastAsia="zh-CN"/>
        </w:rPr>
        <w:t xml:space="preserve"> </w:t>
      </w:r>
      <w:r>
        <w:rPr>
          <w:rFonts w:hint="default"/>
          <w:lang w:val="en-US" w:eastAsia="zh-CN"/>
        </w:rPr>
        <w:t>for power battery reusing of new energy vehicles in China[J].Energies, 2020, 13(8): 1932.</w:t>
      </w:r>
      <w:bookmarkEnd w:id="1"/>
    </w:p>
    <w:p w14:paraId="63452246">
      <w:pPr>
        <w:numPr>
          <w:ilvl w:val="0"/>
          <w:numId w:val="1"/>
        </w:numPr>
        <w:ind w:left="360" w:leftChars="0" w:hanging="360" w:firstLineChars="0"/>
        <w:rPr>
          <w:rFonts w:hint="default"/>
          <w:lang w:val="en-US" w:eastAsia="zh-CN"/>
        </w:rPr>
      </w:pPr>
      <w:bookmarkStart w:id="2" w:name="_Ref12109"/>
      <w:r>
        <w:rPr>
          <w:rFonts w:hint="default"/>
          <w:lang w:val="en-US" w:eastAsia="zh-CN"/>
        </w:rPr>
        <w:t>SHAHJALAL M, ROY P K, SHAMS T, et al. A review on secondlife of Li-ion batteries: Prospects, challenges, and issues[J]. Energy,2022, 241: doi: 10.1016/j.energy.2021.122881.</w:t>
      </w:r>
      <w:bookmarkEnd w:id="2"/>
    </w:p>
    <w:p w14:paraId="2CAA7A30">
      <w:pPr>
        <w:keepNext w:val="0"/>
        <w:keepLines w:val="0"/>
        <w:pageBreakBefore w:val="0"/>
        <w:widowControl w:val="0"/>
        <w:numPr>
          <w:ilvl w:val="0"/>
          <w:numId w:val="1"/>
        </w:numPr>
        <w:kinsoku/>
        <w:wordWrap w:val="0"/>
        <w:overflowPunct/>
        <w:topLinePunct w:val="0"/>
        <w:autoSpaceDE/>
        <w:autoSpaceDN/>
        <w:bidi w:val="0"/>
        <w:adjustRightInd/>
        <w:snapToGrid/>
        <w:ind w:left="360" w:leftChars="0" w:hanging="360" w:firstLineChars="0"/>
        <w:textAlignment w:val="auto"/>
        <w:rPr>
          <w:rFonts w:hint="default"/>
          <w:lang w:val="en-US" w:eastAsia="zh-CN"/>
        </w:rPr>
      </w:pPr>
      <w:bookmarkStart w:id="3" w:name="_Ref12302"/>
      <w:r>
        <w:rPr>
          <w:rFonts w:hint="eastAsia"/>
          <w:lang w:val="en-US" w:eastAsia="zh-CN"/>
        </w:rPr>
        <w:t>“强化闭环生态 大众汽车集团（中国）携手江苏华友拓展动力电池梯次利用”. 大众汽车集团（中国）, 2023 年 1 月 16 日，https://www.volkswagengroupchina.com.cn/news/Detail?ArticleID=03EBFD1246DB4BB8B412F1B9FA933CC9.</w:t>
      </w:r>
      <w:bookmarkEnd w:id="3"/>
    </w:p>
    <w:p w14:paraId="7D715B0A">
      <w:pPr>
        <w:numPr>
          <w:ilvl w:val="0"/>
          <w:numId w:val="1"/>
        </w:numPr>
        <w:ind w:left="360" w:leftChars="0" w:hanging="360" w:firstLineChars="0"/>
        <w:rPr>
          <w:rFonts w:hint="default"/>
          <w:lang w:val="en-US" w:eastAsia="zh-CN"/>
        </w:rPr>
      </w:pPr>
      <w:bookmarkStart w:id="4" w:name="_Ref12351"/>
      <w:r>
        <w:rPr>
          <w:rFonts w:hint="default"/>
          <w:lang w:val="en-US" w:eastAsia="zh-CN"/>
        </w:rPr>
        <w:t>王建海,连鑫,宋瑞.新能源汽车废旧动力电池回收浅析[J].时代汽车,2020(24):106-108.</w:t>
      </w:r>
      <w:bookmarkEnd w:id="4"/>
    </w:p>
    <w:p w14:paraId="5742318B">
      <w:pPr>
        <w:keepNext w:val="0"/>
        <w:keepLines w:val="0"/>
        <w:pageBreakBefore w:val="0"/>
        <w:widowControl w:val="0"/>
        <w:numPr>
          <w:ilvl w:val="0"/>
          <w:numId w:val="1"/>
        </w:numPr>
        <w:kinsoku/>
        <w:wordWrap w:val="0"/>
        <w:overflowPunct/>
        <w:topLinePunct w:val="0"/>
        <w:autoSpaceDE/>
        <w:autoSpaceDN/>
        <w:bidi w:val="0"/>
        <w:adjustRightInd/>
        <w:snapToGrid/>
        <w:ind w:left="363" w:leftChars="0" w:hanging="363" w:firstLineChars="0"/>
        <w:textAlignment w:val="auto"/>
        <w:rPr>
          <w:rFonts w:hint="default"/>
          <w:lang w:val="en-US" w:eastAsia="zh-CN"/>
        </w:rPr>
      </w:pPr>
      <w:bookmarkStart w:id="5" w:name="_Ref1110"/>
      <w:r>
        <w:rPr>
          <w:rFonts w:hint="default"/>
          <w:lang w:val="en-US" w:eastAsia="zh-CN"/>
        </w:rPr>
        <w:t>李钰.动力电池回收利用关键技术研究[J].内燃机与配件,2024,(19):123-125.DOI:10.19475/j.cnki.issn1674-957x.2024.19.024.</w:t>
      </w:r>
      <w:bookmarkEnd w:id="5"/>
    </w:p>
    <w:p w14:paraId="5CCFD7B8">
      <w:pPr>
        <w:numPr>
          <w:ilvl w:val="0"/>
          <w:numId w:val="1"/>
        </w:numPr>
        <w:ind w:left="360" w:leftChars="0" w:hanging="360" w:firstLineChars="0"/>
        <w:rPr>
          <w:rFonts w:hint="default"/>
          <w:lang w:val="en-US" w:eastAsia="zh-CN"/>
        </w:rPr>
      </w:pPr>
      <w:bookmarkStart w:id="6" w:name="_Ref12406"/>
      <w:r>
        <w:rPr>
          <w:rFonts w:hint="default"/>
          <w:lang w:val="en-US" w:eastAsia="zh-CN"/>
        </w:rPr>
        <w:t>SANTHIYA D, TING Y P. Bioleaching of spent refinery processing</w:t>
      </w:r>
      <w:r>
        <w:rPr>
          <w:rFonts w:hint="eastAsia"/>
          <w:lang w:val="en-US" w:eastAsia="zh-CN"/>
        </w:rPr>
        <w:t xml:space="preserve"> </w:t>
      </w:r>
      <w:r>
        <w:rPr>
          <w:rFonts w:hint="default"/>
          <w:lang w:val="en-US" w:eastAsia="zh-CN"/>
        </w:rPr>
        <w:t>catalyst using aspergillus niger with high-yield oxalic acid[J]. Journal</w:t>
      </w:r>
      <w:r>
        <w:rPr>
          <w:rFonts w:hint="eastAsia"/>
          <w:lang w:val="en-US" w:eastAsia="zh-CN"/>
        </w:rPr>
        <w:t xml:space="preserve"> </w:t>
      </w:r>
      <w:r>
        <w:rPr>
          <w:rFonts w:hint="default"/>
          <w:lang w:val="en-US" w:eastAsia="zh-CN"/>
        </w:rPr>
        <w:t>of Biotechnology, 2005, 116(2): 171-184.</w:t>
      </w:r>
      <w:bookmarkEnd w:id="6"/>
    </w:p>
    <w:p w14:paraId="45BF9419">
      <w:pPr>
        <w:numPr>
          <w:ilvl w:val="0"/>
          <w:numId w:val="1"/>
        </w:numPr>
        <w:ind w:left="360" w:leftChars="0" w:hanging="360" w:firstLineChars="0"/>
        <w:rPr>
          <w:rFonts w:hint="default"/>
          <w:lang w:val="en-US" w:eastAsia="zh-CN"/>
        </w:rPr>
      </w:pPr>
      <w:bookmarkStart w:id="7" w:name="_Ref12442"/>
      <w:r>
        <w:rPr>
          <w:rFonts w:hint="eastAsia"/>
          <w:lang w:val="en-US" w:eastAsia="zh-CN"/>
        </w:rPr>
        <w:t>张晓洁，张辛欣. “我国将加强新能源汽车动力电池回收利用.” 中国政府网，2025 年 2 月 21 日，https://www.gov.cn/zhengce/202502/content_7004966.htm.</w:t>
      </w:r>
      <w:bookmarkEnd w:id="7"/>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XISG" w:date="2025-03-22T21:50:29Z" w:initials="">
    <w:p w14:paraId="470346F3">
      <w:pPr>
        <w:pStyle w:val="2"/>
        <w:rPr>
          <w:rFonts w:hint="default" w:eastAsiaTheme="minorEastAsia"/>
          <w:lang w:val="en-US" w:eastAsia="zh-CN"/>
        </w:rPr>
      </w:pPr>
      <w:r>
        <w:rPr>
          <w:rFonts w:hint="eastAsia"/>
          <w:lang w:val="en-US" w:eastAsia="zh-CN"/>
        </w:rPr>
        <w:t>原文档20%更改为30%</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70346F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E64209"/>
    <w:multiLevelType w:val="multilevel"/>
    <w:tmpl w:val="E5E64209"/>
    <w:lvl w:ilvl="0" w:tentative="0">
      <w:start w:val="1"/>
      <w:numFmt w:val="decimal"/>
      <w:lvlText w:val="[%1]"/>
      <w:lvlJc w:val="left"/>
      <w:pPr>
        <w:ind w:left="360" w:hanging="36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ISG">
    <w15:presenceInfo w15:providerId="WPS Office" w15:userId="17895126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FA7161"/>
    <w:rsid w:val="21F11F93"/>
    <w:rsid w:val="3A645550"/>
    <w:rsid w:val="55F109D3"/>
    <w:rsid w:val="642152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uiPriority w:val="0"/>
    <w:pPr>
      <w:jc w:val="left"/>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2946</Words>
  <Characters>3688</Characters>
  <Lines>0</Lines>
  <Paragraphs>0</Paragraphs>
  <TotalTime>13</TotalTime>
  <ScaleCrop>false</ScaleCrop>
  <LinksUpToDate>false</LinksUpToDate>
  <CharactersWithSpaces>3788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2025-03-15T08:32:00Z</dcterms:created>
  <dc:creator>Asus</dc:creator>
  <cp:lastModifiedBy>XISG</cp:lastModifiedBy>
  <dcterms:modified xsi:type="dcterms:W3CDTF">2025-03-22T13:53:07Z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eyJoZGlkIjoiZjVhNGJiMWVmZTg4ZjFhYWZhYWFiMzBkODkwYWRkZmUiLCJ1c2VySWQiOiIxMzg3NDY5NTgyIn0=</vt:lpwstr>
  </property>
  <property fmtid="{D5CDD505-2E9C-101B-9397-08002B2CF9AE}" pid="4" name="ICV">
    <vt:lpwstr>3CF163EDBEE94A70A528BC50756573CA_12</vt:lpwstr>
  </property>
</Properties>
</file>