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49CFB">
      <w:pPr>
        <w:rPr>
          <w:rFonts w:hint="eastAsia"/>
          <w:lang w:val="en-US" w:eastAsia="zh-CN"/>
        </w:rPr>
      </w:pPr>
      <w:r>
        <w:rPr>
          <w:rFonts w:hint="eastAsia"/>
          <w:lang w:val="en-US" w:eastAsia="zh-CN"/>
        </w:rPr>
        <w:t>1 电动汽车变速箱概述</w:t>
      </w:r>
    </w:p>
    <w:p w14:paraId="16122108">
      <w:pPr>
        <w:rPr>
          <w:rFonts w:hint="eastAsia"/>
          <w:highlight w:val="none"/>
          <w:lang w:val="en-US" w:eastAsia="zh-CN"/>
        </w:rPr>
      </w:pPr>
      <w:r>
        <w:rPr>
          <w:rFonts w:hint="eastAsia"/>
          <w:highlight w:val="none"/>
          <w:lang w:val="en-US" w:eastAsia="zh-CN"/>
        </w:rPr>
        <w:t>1.1电动汽车变速箱的技术特性</w:t>
      </w:r>
    </w:p>
    <w:p w14:paraId="7F7EC0CF">
      <w:pPr>
        <w:ind w:firstLine="420" w:firstLineChars="0"/>
        <w:rPr>
          <w:rFonts w:hint="default"/>
          <w:highlight w:val="none"/>
          <w:lang w:val="en-US" w:eastAsia="zh-CN"/>
        </w:rPr>
      </w:pPr>
      <w:r>
        <w:rPr>
          <w:rFonts w:hint="default"/>
          <w:highlight w:val="none"/>
          <w:lang w:val="en-US" w:eastAsia="zh-CN"/>
        </w:rPr>
        <w:t>在政策的大力扶持与技术的持续升级背景下，纯电动汽车产业正处于高速发展的黄金时期，越来越受到消费者的广泛认可。从电动机外特性曲线可知，电机具备极为宽泛的调速范围，呈现出低速时恒转矩、高速时恒功率的显著特性</w:t>
      </w:r>
      <w:r>
        <w:rPr>
          <w:rFonts w:hint="default"/>
          <w:highlight w:val="none"/>
          <w:lang w:val="en-US" w:eastAsia="zh-CN"/>
        </w:rPr>
        <w:fldChar w:fldCharType="begin"/>
      </w:r>
      <w:r>
        <w:rPr>
          <w:rFonts w:hint="default"/>
          <w:highlight w:val="none"/>
          <w:lang w:val="en-US" w:eastAsia="zh-CN"/>
        </w:rPr>
        <w:instrText xml:space="preserve"> REF _Ref19122 \r \h </w:instrText>
      </w:r>
      <w:r>
        <w:rPr>
          <w:rFonts w:hint="default"/>
          <w:highlight w:val="none"/>
          <w:lang w:val="en-US" w:eastAsia="zh-CN"/>
        </w:rPr>
        <w:fldChar w:fldCharType="separate"/>
      </w:r>
      <w:r>
        <w:rPr>
          <w:rFonts w:hint="default"/>
          <w:highlight w:val="none"/>
          <w:lang w:val="en-US" w:eastAsia="zh-CN"/>
        </w:rPr>
        <w:t>[1]</w:t>
      </w:r>
      <w:r>
        <w:rPr>
          <w:rFonts w:hint="default"/>
          <w:highlight w:val="none"/>
          <w:lang w:val="en-US" w:eastAsia="zh-CN"/>
        </w:rPr>
        <w:fldChar w:fldCharType="end"/>
      </w:r>
      <w:r>
        <w:rPr>
          <w:rFonts w:hint="default"/>
          <w:highlight w:val="none"/>
          <w:lang w:val="en-US" w:eastAsia="zh-CN"/>
        </w:rPr>
        <w:fldChar w:fldCharType="begin"/>
      </w:r>
      <w:r>
        <w:rPr>
          <w:rFonts w:hint="default"/>
          <w:highlight w:val="none"/>
          <w:lang w:val="en-US" w:eastAsia="zh-CN"/>
        </w:rPr>
        <w:instrText xml:space="preserve"> REF _Ref19129 \r \h </w:instrText>
      </w:r>
      <w:r>
        <w:rPr>
          <w:rFonts w:hint="default"/>
          <w:highlight w:val="none"/>
          <w:lang w:val="en-US" w:eastAsia="zh-CN"/>
        </w:rPr>
        <w:fldChar w:fldCharType="separate"/>
      </w:r>
      <w:r>
        <w:rPr>
          <w:rFonts w:hint="default"/>
          <w:highlight w:val="none"/>
          <w:lang w:val="en-US" w:eastAsia="zh-CN"/>
        </w:rPr>
        <w:t>[2]</w:t>
      </w:r>
      <w:r>
        <w:rPr>
          <w:rFonts w:hint="default"/>
          <w:highlight w:val="none"/>
          <w:lang w:val="en-US" w:eastAsia="zh-CN"/>
        </w:rPr>
        <w:fldChar w:fldCharType="end"/>
      </w:r>
      <w:r>
        <w:rPr>
          <w:rFonts w:hint="default"/>
          <w:highlight w:val="none"/>
          <w:lang w:val="en-US" w:eastAsia="zh-CN"/>
        </w:rPr>
        <w:t>。基于这一特性，纯电动汽车在传动装置的选择上，通常采用固定速比的形式。</w:t>
      </w:r>
    </w:p>
    <w:p w14:paraId="52DD066E">
      <w:pPr>
        <w:ind w:firstLine="420" w:firstLineChars="0"/>
        <w:rPr>
          <w:rFonts w:hint="default"/>
          <w:highlight w:val="none"/>
          <w:lang w:val="en-US" w:eastAsia="zh-CN"/>
        </w:rPr>
      </w:pPr>
      <w:r>
        <w:rPr>
          <w:rFonts w:hint="default"/>
          <w:highlight w:val="none"/>
          <w:lang w:val="en-US" w:eastAsia="zh-CN"/>
        </w:rPr>
        <w:t>然而，这种固定速比传动装置在实际应用中也暴露出一些弊端。观察电动机等效率图，可以发现，在某些工况下，电机无法处于高效运行区间。例如，在车辆中后段加速过程中，电机转速与转矩的组合往往偏离高效区域，导致能量转换效率降低，进而出现加速动力不足的情况。同时，由于电机不能始终保持高效运行，电能消耗增加，车辆的续航能力也受到明显影响，难以满足用户对于长续航里程的需求。</w:t>
      </w:r>
    </w:p>
    <w:p w14:paraId="2BE9163B">
      <w:pPr>
        <w:ind w:firstLine="420" w:firstLineChars="0"/>
        <w:rPr>
          <w:rFonts w:hint="default"/>
          <w:highlight w:val="none"/>
          <w:lang w:val="en-US" w:eastAsia="zh-CN"/>
        </w:rPr>
      </w:pPr>
      <w:r>
        <w:rPr>
          <w:rFonts w:hint="default"/>
          <w:highlight w:val="none"/>
          <w:lang w:val="en-US" w:eastAsia="zh-CN"/>
        </w:rPr>
        <w:t>为有效解决上述问题，给纯电动汽车装配变速箱成为一种极具潜力的技术方案。通过合理设计变速箱的传动比，能够使电机长时间稳定工作在最佳转速区间。从电动机等效率图中可以直观看到，当电机运行在高效区域时（如内部高数值效率区域），其能量转换效率大幅提升。这不仅充分发挥了变速箱基本的减速增扭功能，更重要的是，能确保电机在不同行驶工况下都能以较高效率运行，从而显著提升车辆的动力性能，有效增加续航里程</w:t>
      </w:r>
      <w:r>
        <w:rPr>
          <w:rFonts w:hint="default"/>
          <w:highlight w:val="none"/>
          <w:lang w:val="en-US" w:eastAsia="zh-CN"/>
        </w:rPr>
        <w:fldChar w:fldCharType="begin"/>
      </w:r>
      <w:r>
        <w:rPr>
          <w:rFonts w:hint="default"/>
          <w:highlight w:val="none"/>
          <w:lang w:val="en-US" w:eastAsia="zh-CN"/>
        </w:rPr>
        <w:instrText xml:space="preserve"> REF _Ref18916 \r \h </w:instrText>
      </w:r>
      <w:r>
        <w:rPr>
          <w:rFonts w:hint="default"/>
          <w:highlight w:val="none"/>
          <w:lang w:val="en-US" w:eastAsia="zh-CN"/>
        </w:rPr>
        <w:fldChar w:fldCharType="separate"/>
      </w:r>
      <w:r>
        <w:rPr>
          <w:rFonts w:hint="default"/>
          <w:highlight w:val="none"/>
          <w:lang w:val="en-US" w:eastAsia="zh-CN"/>
        </w:rPr>
        <w:t>[3]</w:t>
      </w:r>
      <w:r>
        <w:rPr>
          <w:rFonts w:hint="default"/>
          <w:highlight w:val="none"/>
          <w:lang w:val="en-US" w:eastAsia="zh-CN"/>
        </w:rPr>
        <w:fldChar w:fldCharType="end"/>
      </w:r>
      <w:r>
        <w:rPr>
          <w:rFonts w:hint="default"/>
          <w:highlight w:val="none"/>
          <w:lang w:val="en-US" w:eastAsia="zh-CN"/>
        </w:rPr>
        <w:fldChar w:fldCharType="begin"/>
      </w:r>
      <w:r>
        <w:rPr>
          <w:rFonts w:hint="default"/>
          <w:highlight w:val="none"/>
          <w:lang w:val="en-US" w:eastAsia="zh-CN"/>
        </w:rPr>
        <w:instrText xml:space="preserve"> REF _Ref23905 \r \h </w:instrText>
      </w:r>
      <w:r>
        <w:rPr>
          <w:rFonts w:hint="default"/>
          <w:highlight w:val="none"/>
          <w:lang w:val="en-US" w:eastAsia="zh-CN"/>
        </w:rPr>
        <w:fldChar w:fldCharType="separate"/>
      </w:r>
      <w:r>
        <w:rPr>
          <w:rFonts w:hint="default"/>
          <w:highlight w:val="none"/>
          <w:lang w:val="en-US" w:eastAsia="zh-CN"/>
        </w:rPr>
        <w:t>[4]</w:t>
      </w:r>
      <w:r>
        <w:rPr>
          <w:rFonts w:hint="default"/>
          <w:highlight w:val="none"/>
          <w:lang w:val="en-US" w:eastAsia="zh-CN"/>
        </w:rPr>
        <w:fldChar w:fldCharType="end"/>
      </w:r>
      <w:r>
        <w:rPr>
          <w:rFonts w:hint="default"/>
          <w:highlight w:val="none"/>
          <w:lang w:val="en-US" w:eastAsia="zh-CN"/>
        </w:rPr>
        <w:t xml:space="preserve">。 </w:t>
      </w:r>
    </w:p>
    <w:p w14:paraId="38A2C3E5">
      <w:pPr>
        <w:ind w:firstLine="420" w:firstLineChars="0"/>
      </w:pPr>
      <w:r>
        <w:drawing>
          <wp:inline distT="0" distB="0" distL="114300" distR="114300">
            <wp:extent cx="3447415" cy="2362200"/>
            <wp:effectExtent l="0" t="0" r="1206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447415" cy="2362200"/>
                    </a:xfrm>
                    <a:prstGeom prst="rect">
                      <a:avLst/>
                    </a:prstGeom>
                    <a:noFill/>
                    <a:ln>
                      <a:noFill/>
                    </a:ln>
                  </pic:spPr>
                </pic:pic>
              </a:graphicData>
            </a:graphic>
          </wp:inline>
        </w:drawing>
      </w:r>
    </w:p>
    <w:p w14:paraId="373EA0BC">
      <w:pPr>
        <w:jc w:val="center"/>
      </w:pPr>
      <w:r>
        <w:rPr>
          <w:rFonts w:hint="eastAsia"/>
          <w:lang w:val="en-US" w:eastAsia="zh-CN"/>
        </w:rPr>
        <w:t>图1 电动机外特性曲线</w:t>
      </w:r>
    </w:p>
    <w:p w14:paraId="0CE1E4A0">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387725" cy="2540000"/>
            <wp:effectExtent l="0" t="0" r="0" b="508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3387725" cy="2540000"/>
                    </a:xfrm>
                    <a:prstGeom prst="rect">
                      <a:avLst/>
                    </a:prstGeom>
                    <a:noFill/>
                    <a:ln w="9525">
                      <a:noFill/>
                    </a:ln>
                  </pic:spPr>
                </pic:pic>
              </a:graphicData>
            </a:graphic>
          </wp:inline>
        </w:drawing>
      </w:r>
    </w:p>
    <w:p w14:paraId="5382F68C">
      <w:pPr>
        <w:jc w:val="center"/>
        <w:rPr>
          <w:rFonts w:hint="eastAsia"/>
          <w:lang w:val="en-US" w:eastAsia="zh-CN"/>
        </w:rPr>
      </w:pPr>
      <w:r>
        <w:rPr>
          <w:rFonts w:hint="eastAsia"/>
          <w:lang w:val="en-US" w:eastAsia="zh-CN"/>
        </w:rPr>
        <w:t>图2 电动机等效率曲线</w:t>
      </w:r>
    </w:p>
    <w:p w14:paraId="569FD137">
      <w:pPr>
        <w:jc w:val="left"/>
        <w:rPr>
          <w:rFonts w:hint="eastAsia"/>
          <w:lang w:val="en-US" w:eastAsia="zh-CN"/>
        </w:rPr>
      </w:pPr>
      <w:r>
        <w:rPr>
          <w:rFonts w:hint="eastAsia"/>
          <w:lang w:val="en-US" w:eastAsia="zh-CN"/>
        </w:rPr>
        <w:t>1.2电动汽车变速箱与内燃机汽车的差异</w:t>
      </w:r>
    </w:p>
    <w:p w14:paraId="2AE1F4FB">
      <w:pPr>
        <w:ind w:firstLine="420" w:firstLineChars="0"/>
        <w:jc w:val="left"/>
        <w:rPr>
          <w:rFonts w:hint="eastAsia"/>
          <w:lang w:val="en-US" w:eastAsia="zh-CN"/>
        </w:rPr>
      </w:pPr>
      <w:r>
        <w:rPr>
          <w:rFonts w:hint="eastAsia"/>
          <w:lang w:val="en-US" w:eastAsia="zh-CN"/>
        </w:rPr>
        <w:t>电动汽车（Electric Vehicle, EV）与内燃机汽车（Internal Combustion Engine Vehicle, ICEV）的动力系统存在本质差异，其变速箱在结构设计、控制逻辑及能量管理等方面呈现显著区别。</w:t>
      </w:r>
    </w:p>
    <w:p w14:paraId="3A158901">
      <w:pPr>
        <w:ind w:firstLine="420" w:firstLineChars="0"/>
        <w:jc w:val="left"/>
        <w:rPr>
          <w:rFonts w:hint="eastAsia"/>
          <w:lang w:val="en-US" w:eastAsia="zh-CN"/>
        </w:rPr>
      </w:pPr>
      <w:r>
        <w:rPr>
          <w:rFonts w:hint="eastAsia"/>
          <w:lang w:val="en-US" w:eastAsia="zh-CN"/>
        </w:rPr>
        <w:t>传统内燃机变速箱（如常见的 AT、DCT）通常配备 6 - 10 个档位的齿轮组，主要目的是匹配发动机较为狭窄的高效工作区间（其有效扭矩输出范围大致在 2000 - 5000 rpm）。此外，这类变速箱还需借助液力变矩器或离合器来实现动力的耦合以及扭矩的放大。由于内燃机自身的局限性，无法直接输出车辆在各种行驶工况下所需的扭矩，这就导致传统内燃机变速箱结构异常复杂，内部包含超过 200 个精密机械部件。</w:t>
      </w:r>
    </w:p>
    <w:p w14:paraId="00A6BD62">
      <w:pPr>
        <w:ind w:firstLine="420" w:firstLineChars="0"/>
        <w:jc w:val="left"/>
        <w:rPr>
          <w:rFonts w:hint="eastAsia"/>
          <w:lang w:val="en-US" w:eastAsia="zh-CN"/>
        </w:rPr>
      </w:pPr>
      <w:r>
        <w:rPr>
          <w:rFonts w:hint="eastAsia"/>
          <w:lang w:val="en-US" w:eastAsia="zh-CN"/>
        </w:rPr>
        <w:t>反观电动汽车，其驱动电机具备全域高效的突出特性（在 0 - 15000 rpm 的转速范围内，效率能够超过 90%），并且在零转速时就能输出峰值扭矩。基于这些优势，电动汽车变速箱大多采用单级减速器架构，仅由 1 组减速齿轮和差速器组成，省去了离合器、液力变矩器以及同步器等传统组件。</w:t>
      </w:r>
    </w:p>
    <w:p w14:paraId="67D4A5DF">
      <w:pPr>
        <w:ind w:firstLine="420" w:firstLineChars="0"/>
        <w:jc w:val="left"/>
        <w:rPr>
          <w:rFonts w:hint="eastAsia"/>
          <w:lang w:val="en-US" w:eastAsia="zh-CN"/>
        </w:rPr>
      </w:pPr>
      <w:r>
        <w:rPr>
          <w:rFonts w:hint="eastAsia"/>
          <w:lang w:val="en-US" w:eastAsia="zh-CN"/>
        </w:rPr>
        <w:t>在控制逻辑方面，传统变速箱的控制单元（TCU）依据 MAP 图和换挡逻辑算法，将发动机转速、节气门开度以及车速作为输入参数，以此实现档位的切换以及动力中断时的补偿（例如降档补油操作）。不过，这种换挡方式存在一定的延迟，换挡延迟时间大约在 300 - 500ms，而且在换挡过程中容易出现动力传递间断的现象。</w:t>
      </w:r>
    </w:p>
    <w:p w14:paraId="2F2DFC6A">
      <w:pPr>
        <w:ind w:firstLine="420" w:firstLineChars="0"/>
        <w:jc w:val="left"/>
        <w:rPr>
          <w:rFonts w:hint="eastAsia"/>
          <w:lang w:val="en-US" w:eastAsia="zh-CN"/>
        </w:rPr>
      </w:pPr>
      <w:r>
        <w:rPr>
          <w:rFonts w:hint="eastAsia"/>
          <w:lang w:val="en-US" w:eastAsia="zh-CN"/>
        </w:rPr>
        <w:t>而电动汽车的多速变速箱采用了先进的电机主动同步技术。在换挡过程中，电机控制器能够精准地将转子转速调节至目标档位的同步点，随后通过狗齿离合器实现无动力中断换挡，整个换挡过程耗时可控制在 100ms 以内</w:t>
      </w:r>
      <w:r>
        <w:rPr>
          <w:rFonts w:hint="eastAsia"/>
          <w:lang w:val="en-US" w:eastAsia="zh-CN"/>
        </w:rPr>
        <w:fldChar w:fldCharType="begin"/>
      </w:r>
      <w:r>
        <w:rPr>
          <w:rFonts w:hint="eastAsia"/>
          <w:lang w:val="en-US" w:eastAsia="zh-CN"/>
        </w:rPr>
        <w:instrText xml:space="preserve"> REF _Ref20507 \r \h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p>
    <w:p w14:paraId="314F518F">
      <w:pPr>
        <w:ind w:firstLine="42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2162810" cy="1885315"/>
            <wp:effectExtent l="0" t="0" r="127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2162810" cy="1885315"/>
                    </a:xfrm>
                    <a:prstGeom prst="rect">
                      <a:avLst/>
                    </a:prstGeom>
                    <a:noFill/>
                    <a:ln w="9525">
                      <a:noFill/>
                    </a:ln>
                  </pic:spPr>
                </pic:pic>
              </a:graphicData>
            </a:graphic>
          </wp:inline>
        </w:drawing>
      </w:r>
    </w:p>
    <w:p w14:paraId="1A58793E">
      <w:pPr>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图3 传统汽车变速箱结构图</w:t>
      </w:r>
    </w:p>
    <w:p w14:paraId="0748F9F9">
      <w:pPr>
        <w:ind w:firstLine="420" w:firstLineChars="0"/>
        <w:jc w:val="left"/>
      </w:pPr>
      <w:r>
        <w:drawing>
          <wp:inline distT="0" distB="0" distL="114300" distR="114300">
            <wp:extent cx="4220210" cy="3124835"/>
            <wp:effectExtent l="0" t="0" r="127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220210" cy="3124835"/>
                    </a:xfrm>
                    <a:prstGeom prst="rect">
                      <a:avLst/>
                    </a:prstGeom>
                    <a:noFill/>
                    <a:ln>
                      <a:noFill/>
                    </a:ln>
                  </pic:spPr>
                </pic:pic>
              </a:graphicData>
            </a:graphic>
          </wp:inline>
        </w:drawing>
      </w:r>
    </w:p>
    <w:p w14:paraId="63D0E233">
      <w:pPr>
        <w:ind w:firstLine="420" w:firstLineChars="0"/>
        <w:jc w:val="left"/>
        <w:rPr>
          <w:rFonts w:hint="default" w:eastAsiaTheme="minorEastAsia"/>
          <w:lang w:val="en-US" w:eastAsia="zh-CN"/>
        </w:rPr>
      </w:pPr>
      <w:r>
        <w:rPr>
          <w:rFonts w:hint="eastAsia"/>
          <w:lang w:val="en-US" w:eastAsia="zh-CN"/>
        </w:rPr>
        <w:t>图 纯电动汽车后置离合器两挡变速箱原理图</w:t>
      </w:r>
      <w:r>
        <w:rPr>
          <w:rFonts w:hint="eastAsia"/>
          <w:lang w:val="en-US" w:eastAsia="zh-CN"/>
        </w:rPr>
        <w:fldChar w:fldCharType="begin"/>
      </w:r>
      <w:r>
        <w:rPr>
          <w:rFonts w:hint="eastAsia"/>
          <w:lang w:val="en-US" w:eastAsia="zh-CN"/>
        </w:rPr>
        <w:instrText xml:space="preserve"> REF _Ref18916 \r \h </w:instrText>
      </w:r>
      <w:r>
        <w:rPr>
          <w:rFonts w:hint="eastAsia"/>
          <w:lang w:val="en-US" w:eastAsia="zh-CN"/>
        </w:rPr>
        <w:fldChar w:fldCharType="separate"/>
      </w:r>
      <w:r>
        <w:rPr>
          <w:rFonts w:hint="eastAsia"/>
          <w:lang w:val="en-US" w:eastAsia="zh-CN"/>
        </w:rPr>
        <w:t>[3]</w:t>
      </w:r>
      <w:r>
        <w:rPr>
          <w:rFonts w:hint="eastAsia"/>
          <w:lang w:val="en-US" w:eastAsia="zh-CN"/>
        </w:rPr>
        <w:fldChar w:fldCharType="end"/>
      </w:r>
    </w:p>
    <w:p w14:paraId="7EF3B5FC">
      <w:pPr>
        <w:jc w:val="left"/>
        <w:rPr>
          <w:rFonts w:hint="eastAsia"/>
          <w:lang w:val="en-US" w:eastAsia="zh-CN"/>
        </w:rPr>
      </w:pPr>
    </w:p>
    <w:p w14:paraId="037C8A8B">
      <w:pPr>
        <w:jc w:val="left"/>
        <w:rPr>
          <w:rFonts w:hint="eastAsia"/>
          <w:lang w:val="en-US" w:eastAsia="zh-CN"/>
        </w:rPr>
      </w:pPr>
    </w:p>
    <w:p w14:paraId="6765AE24">
      <w:pPr>
        <w:jc w:val="left"/>
        <w:rPr>
          <w:rFonts w:hint="eastAsia"/>
          <w:lang w:val="en-US" w:eastAsia="zh-CN"/>
        </w:rPr>
      </w:pPr>
      <w:r>
        <w:rPr>
          <w:rFonts w:hint="eastAsia"/>
          <w:lang w:val="en-US" w:eastAsia="zh-CN"/>
        </w:rPr>
        <w:t>1.3电动汽车变速箱类型</w:t>
      </w:r>
    </w:p>
    <w:p w14:paraId="5E028B5D">
      <w:pPr>
        <w:ind w:firstLine="420" w:firstLineChars="0"/>
        <w:jc w:val="left"/>
        <w:rPr>
          <w:rFonts w:hint="eastAsia"/>
          <w:lang w:val="en-US" w:eastAsia="zh-CN"/>
        </w:rPr>
      </w:pPr>
      <w:r>
        <w:rPr>
          <w:rFonts w:hint="eastAsia"/>
          <w:lang w:val="en-US" w:eastAsia="zh-CN"/>
        </w:rPr>
        <w:t>电动汽车变速箱的核心目标在于适配电机的高效运行特性并优化能量传递效率。目前主流技术方案可分为以下四类：单级减速器（Single-Speed Reducer）、多速变速箱（Multi-Speed Transmission）、集成式电驱系统（Integrated e-Axle）、新型无级变速方案（Emerging CVT Technologies）。</w:t>
      </w:r>
    </w:p>
    <w:p w14:paraId="476D9893">
      <w:pPr>
        <w:ind w:firstLine="420" w:firstLineChars="0"/>
        <w:jc w:val="left"/>
        <w:rPr>
          <w:rFonts w:hint="eastAsia"/>
          <w:lang w:val="en-US" w:eastAsia="zh-CN"/>
        </w:rPr>
      </w:pPr>
      <w:r>
        <w:rPr>
          <w:rFonts w:hint="eastAsia"/>
          <w:lang w:val="en-US" w:eastAsia="zh-CN"/>
        </w:rPr>
        <w:t>单级减速器目前是电动乘用车的标准配置。其结构简单，仅由一组固定减速齿轮和差速器构成，摒弃了传统的离合器与同步机构。这一方案具备成本低廉、可靠性高的优势，但在高速工况下，电机转速过高会引发效率下降问题，亟待进一步优化。多速变速箱主要用于高性能车型或商用电动车辆，通过设置2 - 3个档位，拓展驱动电机的高效运行区间。集成式电驱系统采用电机、减速器与逆变器三维共壳体的设计，实现了深度集成。这种设计能够提升功率密度，同时缩短轴向长度。在新型无级变速方案（Emerging CVT Technologies）领域，为突破机械齿轮的物理限制，前沿研究重点关注无接触传动技术。例如，英国Magnomatics公司研发的磁力耦合器，利用谐波磁场传递扭矩，传动效率超过95%，且能实现无磨损运行，非常适用于重载商用车</w:t>
      </w:r>
      <w:r>
        <w:rPr>
          <w:rFonts w:hint="eastAsia"/>
          <w:lang w:val="en-US" w:eastAsia="zh-CN"/>
        </w:rPr>
        <w:fldChar w:fldCharType="begin"/>
      </w:r>
      <w:r>
        <w:rPr>
          <w:rFonts w:hint="eastAsia"/>
          <w:lang w:val="en-US" w:eastAsia="zh-CN"/>
        </w:rPr>
        <w:instrText xml:space="preserve"> REF _Ref21529 \r \h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；电子无级变速（e - CVT）方面，丰田bZ4X采用双电机行星齿轮组，借助电机转速差动态调节等效齿比，确保驱动电机持续处于高效运行区域。 </w:t>
      </w:r>
    </w:p>
    <w:p w14:paraId="47465949">
      <w:pPr>
        <w:ind w:firstLine="420" w:firstLineChars="0"/>
        <w:jc w:val="left"/>
        <w:rPr>
          <w:rFonts w:hint="eastAsia"/>
          <w:lang w:val="en-US" w:eastAsia="zh-CN"/>
        </w:rPr>
      </w:pPr>
    </w:p>
    <w:p w14:paraId="3D740F54">
      <w:pPr>
        <w:ind w:firstLine="420" w:firstLineChars="0"/>
        <w:jc w:val="left"/>
        <w:rPr>
          <w:rFonts w:hint="eastAsia"/>
          <w:lang w:val="en-US" w:eastAsia="zh-CN"/>
        </w:rPr>
      </w:pPr>
      <w:bookmarkStart w:id="8" w:name="_GoBack"/>
      <w:bookmarkEnd w:id="8"/>
    </w:p>
    <w:p w14:paraId="3E9906AA">
      <w:pPr>
        <w:jc w:val="left"/>
        <w:rPr>
          <w:rFonts w:hint="eastAsia"/>
          <w:lang w:val="en-US" w:eastAsia="zh-CN"/>
        </w:rPr>
      </w:pPr>
    </w:p>
    <w:p w14:paraId="47166A90">
      <w:pPr>
        <w:jc w:val="left"/>
        <w:rPr>
          <w:rFonts w:hint="default"/>
          <w:lang w:val="en-US" w:eastAsia="zh-CN"/>
        </w:rPr>
      </w:pPr>
    </w:p>
    <w:p w14:paraId="4C13E0F3">
      <w:pPr>
        <w:numPr>
          <w:ilvl w:val="0"/>
          <w:numId w:val="1"/>
        </w:numPr>
        <w:ind w:left="440" w:leftChars="0" w:hanging="440" w:firstLineChars="0"/>
        <w:rPr>
          <w:rFonts w:hint="eastAsia"/>
          <w:highlight w:val="none"/>
          <w:lang w:val="en-US" w:eastAsia="zh-CN"/>
        </w:rPr>
      </w:pPr>
      <w:bookmarkStart w:id="0" w:name="_Ref19122"/>
      <w:bookmarkStart w:id="1" w:name="_Ref23726"/>
      <w:r>
        <w:rPr>
          <w:rFonts w:hint="eastAsia"/>
          <w:highlight w:val="none"/>
          <w:lang w:val="en-US" w:eastAsia="zh-CN"/>
        </w:rPr>
        <w:t>王成元, 夏加宽, 孙宜标. 现代电机控制技术[M]. 机械工业出版社, 2014.</w:t>
      </w:r>
      <w:bookmarkEnd w:id="0"/>
    </w:p>
    <w:p w14:paraId="202B52CF">
      <w:pPr>
        <w:numPr>
          <w:ilvl w:val="0"/>
          <w:numId w:val="1"/>
        </w:numPr>
        <w:ind w:left="440" w:leftChars="0" w:hanging="440" w:firstLineChars="0"/>
        <w:rPr>
          <w:rFonts w:hint="eastAsia"/>
          <w:highlight w:val="none"/>
          <w:lang w:val="en-US" w:eastAsia="zh-CN"/>
        </w:rPr>
      </w:pPr>
      <w:bookmarkStart w:id="2" w:name="_Ref19129"/>
      <w:r>
        <w:rPr>
          <w:rFonts w:hint="eastAsia"/>
          <w:highlight w:val="none"/>
          <w:lang w:val="en-US" w:eastAsia="zh-CN"/>
        </w:rPr>
        <w:t>顾绳谷. 电机及拖动基础-第 3 版[M]. 机械工业出版社, 2004</w:t>
      </w:r>
      <w:bookmarkEnd w:id="2"/>
    </w:p>
    <w:p w14:paraId="43AB4900">
      <w:pPr>
        <w:numPr>
          <w:ilvl w:val="0"/>
          <w:numId w:val="1"/>
        </w:numPr>
        <w:ind w:left="440" w:leftChars="0" w:hanging="440" w:firstLineChars="0"/>
        <w:rPr>
          <w:rFonts w:hint="eastAsia"/>
          <w:highlight w:val="none"/>
          <w:lang w:val="en-US" w:eastAsia="zh-CN"/>
        </w:rPr>
      </w:pPr>
      <w:bookmarkStart w:id="3" w:name="_Ref18916"/>
      <w:r>
        <w:rPr>
          <w:rFonts w:hint="eastAsia"/>
          <w:highlight w:val="none"/>
          <w:lang w:val="en-US" w:eastAsia="zh-CN"/>
        </w:rPr>
        <w:t>包凯.纯电动汽车变速箱换挡机构的设计与性能分析[D].吉林大学,2017.</w:t>
      </w:r>
      <w:bookmarkEnd w:id="1"/>
      <w:bookmarkEnd w:id="3"/>
    </w:p>
    <w:p w14:paraId="170293BF">
      <w:pPr>
        <w:numPr>
          <w:ilvl w:val="0"/>
          <w:numId w:val="1"/>
        </w:numPr>
        <w:ind w:left="440" w:leftChars="0" w:hanging="440" w:firstLineChars="0"/>
        <w:rPr>
          <w:rFonts w:hint="eastAsia"/>
          <w:highlight w:val="none"/>
          <w:lang w:val="en-US" w:eastAsia="zh-CN"/>
        </w:rPr>
      </w:pPr>
      <w:bookmarkStart w:id="4" w:name="_Ref23905"/>
      <w:r>
        <w:rPr>
          <w:rFonts w:hint="eastAsia"/>
          <w:highlight w:val="none"/>
          <w:lang w:val="en-US" w:eastAsia="zh-CN"/>
        </w:rPr>
        <w:t>Sorniotti A, Holdstock T, Pilone G L, et al. Analysis and simulation of the gearshift methodology for a novel two-speed transmission system for electric powertrains with a central motor[J]. Proceedings of the Institution of Mechanical Engineers Part D Journal of Automobile Engineering, 2012, 226(7):915-929.</w:t>
      </w:r>
      <w:bookmarkEnd w:id="4"/>
    </w:p>
    <w:p w14:paraId="6321ECDA">
      <w:pPr>
        <w:keepNext w:val="0"/>
        <w:keepLines w:val="0"/>
        <w:pageBreakBefore w:val="0"/>
        <w:widowControl w:val="0"/>
        <w:numPr>
          <w:ilvl w:val="0"/>
          <w:numId w:val="1"/>
        </w:numPr>
        <w:kinsoku/>
        <w:wordWrap w:val="0"/>
        <w:overflowPunct/>
        <w:topLinePunct w:val="0"/>
        <w:autoSpaceDE/>
        <w:autoSpaceDN/>
        <w:bidi w:val="0"/>
        <w:adjustRightInd/>
        <w:snapToGrid/>
        <w:ind w:left="442" w:leftChars="0" w:hanging="442" w:firstLineChars="0"/>
        <w:textAlignment w:val="auto"/>
        <w:rPr>
          <w:rFonts w:hint="eastAsia"/>
          <w:highlight w:val="none"/>
          <w:lang w:val="en-US" w:eastAsia="zh-CN"/>
        </w:rPr>
      </w:pPr>
      <w:bookmarkStart w:id="5" w:name="_Ref20507"/>
      <w:bookmarkStart w:id="6" w:name="_Ref23605"/>
      <w:r>
        <w:rPr>
          <w:rFonts w:hint="eastAsia"/>
          <w:highlight w:val="none"/>
          <w:lang w:val="en-US" w:eastAsia="zh-CN"/>
        </w:rPr>
        <w:t xml:space="preserve">Yang, T., Ruan, J. G., Zhang, N., Wu, J. L., &amp; Walker, P. (2018). Modelling and control of a novel two-speed transmission for electric vehicles. Mechanism and Machine Theory, 127, 13-32. </w:t>
      </w:r>
      <w:r>
        <w:rPr>
          <w:rFonts w:hint="eastAsia"/>
          <w:highlight w:val="none"/>
          <w:lang w:val="en-US" w:eastAsia="zh-CN"/>
        </w:rPr>
        <w:fldChar w:fldCharType="begin"/>
      </w:r>
      <w:r>
        <w:rPr>
          <w:rFonts w:hint="eastAsia"/>
          <w:highlight w:val="none"/>
          <w:lang w:val="en-US" w:eastAsia="zh-CN"/>
        </w:rPr>
        <w:instrText xml:space="preserve"> HYPERLINK "https://doi.org/10.1016/j.mechmachtheory.2018.04.023" </w:instrText>
      </w:r>
      <w:r>
        <w:rPr>
          <w:rFonts w:hint="eastAsia"/>
          <w:highlight w:val="none"/>
          <w:lang w:val="en-US" w:eastAsia="zh-CN"/>
        </w:rPr>
        <w:fldChar w:fldCharType="separate"/>
      </w:r>
      <w:r>
        <w:rPr>
          <w:rStyle w:val="4"/>
          <w:rFonts w:hint="eastAsia"/>
          <w:highlight w:val="none"/>
          <w:lang w:val="en-US" w:eastAsia="zh-CN"/>
        </w:rPr>
        <w:t>https://doi.org/10.1016/j.mechmachtheory.2018.04.023</w:t>
      </w:r>
      <w:r>
        <w:rPr>
          <w:rFonts w:hint="eastAsia"/>
          <w:highlight w:val="none"/>
          <w:lang w:val="en-US" w:eastAsia="zh-CN"/>
        </w:rPr>
        <w:fldChar w:fldCharType="end"/>
      </w:r>
      <w:bookmarkEnd w:id="5"/>
    </w:p>
    <w:p w14:paraId="31BEAE71">
      <w:pPr>
        <w:keepNext w:val="0"/>
        <w:keepLines w:val="0"/>
        <w:pageBreakBefore w:val="0"/>
        <w:widowControl w:val="0"/>
        <w:numPr>
          <w:ilvl w:val="0"/>
          <w:numId w:val="1"/>
        </w:numPr>
        <w:kinsoku/>
        <w:wordWrap w:val="0"/>
        <w:overflowPunct/>
        <w:topLinePunct w:val="0"/>
        <w:autoSpaceDE/>
        <w:autoSpaceDN/>
        <w:bidi w:val="0"/>
        <w:adjustRightInd/>
        <w:snapToGrid/>
        <w:ind w:left="442" w:leftChars="0" w:hanging="442" w:firstLineChars="0"/>
        <w:textAlignment w:val="auto"/>
        <w:rPr>
          <w:rFonts w:hint="eastAsia"/>
          <w:highlight w:val="none"/>
          <w:lang w:val="en-US" w:eastAsia="zh-CN"/>
        </w:rPr>
      </w:pPr>
      <w:bookmarkStart w:id="7" w:name="_Ref21529"/>
      <w:r>
        <w:rPr>
          <w:rFonts w:hint="eastAsia"/>
          <w:highlight w:val="none"/>
          <w:lang w:val="en-US" w:eastAsia="zh-CN"/>
        </w:rPr>
        <w:t>Magnomatics.Our Technology [EB/OL].https://www.magnomatics.com/technology,2024-12-01</w:t>
      </w:r>
      <w:bookmarkEnd w:id="6"/>
      <w:bookmarkEnd w:id="7"/>
    </w:p>
    <w:p w14:paraId="603DCA40">
      <w:pPr>
        <w:rPr>
          <w:rFonts w:hint="eastAsia"/>
          <w:highlight w:val="none"/>
          <w:lang w:val="en-US" w:eastAsia="zh-CN"/>
        </w:rPr>
      </w:pPr>
    </w:p>
    <w:p w14:paraId="685F4733">
      <w:pPr>
        <w:rPr>
          <w:rFonts w:ascii="微软雅黑" w:hAnsi="微软雅黑" w:eastAsia="微软雅黑" w:cs="微软雅黑"/>
          <w:i w:val="0"/>
          <w:iCs w:val="0"/>
          <w:caps w:val="0"/>
          <w:color w:val="191B1F"/>
          <w:spacing w:val="0"/>
          <w:sz w:val="27"/>
          <w:szCs w:val="27"/>
          <w:shd w:val="clear" w:fill="FFFFFF"/>
        </w:rPr>
      </w:pPr>
    </w:p>
    <w:p w14:paraId="7A76A2CC">
      <w:pPr>
        <w:rPr>
          <w:rFonts w:hint="default"/>
          <w:highlight w:val="yellow"/>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31F30A"/>
    <w:multiLevelType w:val="multilevel"/>
    <w:tmpl w:val="2031F30A"/>
    <w:lvl w:ilvl="0" w:tentative="0">
      <w:start w:val="1"/>
      <w:numFmt w:val="decimal"/>
      <w:lvlText w:val="[%1] "/>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02C9E"/>
    <w:rsid w:val="05707F7E"/>
    <w:rsid w:val="108005C5"/>
    <w:rsid w:val="189A2440"/>
    <w:rsid w:val="23BD3C17"/>
    <w:rsid w:val="281713B7"/>
    <w:rsid w:val="34367069"/>
    <w:rsid w:val="3A874852"/>
    <w:rsid w:val="4B893ACB"/>
    <w:rsid w:val="52295779"/>
    <w:rsid w:val="52F67C97"/>
    <w:rsid w:val="6C702411"/>
    <w:rsid w:val="7DED1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1339</Words>
  <Characters>1928</Characters>
  <Lines>0</Lines>
  <Paragraphs>0</Paragraphs>
  <TotalTime>12</TotalTime>
  <ScaleCrop>false</ScaleCrop>
  <LinksUpToDate>false</LinksUpToDate>
  <CharactersWithSpaces>2002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2025-04-25T00:03:00Z</dcterms:created>
  <dc:creator>Asus</dc:creator>
  <cp:lastModifiedBy>XISG</cp:lastModifiedBy>
  <dcterms:modified xsi:type="dcterms:W3CDTF">2025-04-25T06:52:02Z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eyJoZGlkIjoiZjVhNGJiMWVmZTg4ZjFhYWZhYWFiMzBkODkwYWRkZmUiLCJ1c2VySWQiOiIxMzg3NDY5NTgyIn0=</vt:lpwstr>
  </property>
  <property fmtid="{D5CDD505-2E9C-101B-9397-08002B2CF9AE}" pid="4" name="ICV">
    <vt:lpwstr>3C50B1676DF84C198009E01A56A82CBD_12</vt:lpwstr>
  </property>
</Properties>
</file>