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2822CD">
      <w:p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制动系统在高级辅助驾驶及自动驾驶技术中的功能实现</w:t>
      </w:r>
    </w:p>
    <w:p w14:paraId="22A22023">
      <w:pPr>
        <w:pStyle w:val="3"/>
        <w:numPr>
          <w:ilvl w:val="0"/>
          <w:numId w:val="1"/>
        </w:numPr>
        <w:bidi w:val="0"/>
        <w:rPr>
          <w:rFonts w:hint="eastAsia"/>
          <w:lang w:val="en-US" w:eastAsia="zh-CN"/>
        </w:rPr>
      </w:pPr>
      <w:r>
        <w:rPr>
          <w:rFonts w:hint="eastAsia"/>
          <w:lang w:val="en-US" w:eastAsia="zh-CN"/>
        </w:rPr>
        <w:t>ADAS层级（L0-L2）的制动功能实现</w:t>
      </w:r>
    </w:p>
    <w:p w14:paraId="1C3F8315">
      <w:pPr>
        <w:pStyle w:val="4"/>
        <w:bidi w:val="0"/>
        <w:rPr>
          <w:rFonts w:hint="eastAsia"/>
          <w:lang w:val="en-US" w:eastAsia="zh-CN"/>
        </w:rPr>
      </w:pPr>
      <w:r>
        <w:rPr>
          <w:rFonts w:hint="eastAsia"/>
          <w:lang w:val="en-US" w:eastAsia="zh-CN"/>
        </w:rPr>
        <w:t>1.ADAS分级体系与制动功能的核心地位</w:t>
      </w:r>
    </w:p>
    <w:p w14:paraId="3A82F89D">
      <w:pPr>
        <w:ind w:firstLine="420" w:firstLineChars="200"/>
        <w:rPr>
          <w:rFonts w:hint="default"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lang w:val="en-US" w:eastAsia="zh-CN"/>
        </w:rPr>
        <w:t>高级驾驶辅助系统（ADAS）作为汽车智能化进程中的关键环节，已形成国际通用的六级分类标准（L0-L5），其中L0-L2层级构成了当前量产车型的主流配置。根据工业和信息化部发布的《汽车驾驶自动化分级》标准</w:t>
      </w:r>
      <w:r>
        <w:rPr>
          <w:rFonts w:hint="eastAsia" w:asciiTheme="minorEastAsia" w:hAnsiTheme="minorEastAsia" w:cstheme="minorEastAsia"/>
          <w:highlight w:val="yellow"/>
          <w:lang w:val="en-US" w:eastAsia="zh-CN"/>
        </w:rPr>
        <w:t>【1】</w:t>
      </w:r>
      <w:r>
        <w:rPr>
          <w:rFonts w:hint="eastAsia" w:asciiTheme="minorEastAsia" w:hAnsiTheme="minorEastAsia" w:eastAsiaTheme="minorEastAsia" w:cstheme="minorEastAsia"/>
          <w:lang w:val="en-US" w:eastAsia="zh-CN"/>
        </w:rPr>
        <w:t>，L0级（无自动化）完全依赖驾驶员控制，车辆仅能提供预警类辅助功能；L1级（部分驾驶辅助）可实现单一维度的纵向或横向控制，如自适应巡航或车道保持；L2级（组合驾驶辅助）则能同时控制车辆的纵向和横向运动，实现一定程度的协同控制，但驾驶员仍需全程监控驾驶环境并随时准备接管。在这一分级体系中，制动系统扮演着保障行车安全的核心角色，其功能实现从基础的制动优化（L0）逐步演进到多场景协同制动控制（L2），形成了覆盖碰撞避免与驾驶舒适性两大目标的完整技术体系。</w:t>
      </w:r>
      <w:r>
        <w:rPr>
          <w:rFonts w:hint="eastAsia" w:asciiTheme="minorEastAsia" w:hAnsiTheme="minorEastAsia" w:cstheme="minorEastAsia"/>
          <w:highlight w:val="yellow"/>
          <w:lang w:val="en-US" w:eastAsia="zh-CN"/>
        </w:rPr>
        <w:t>【2】</w:t>
      </w:r>
    </w:p>
    <w:p w14:paraId="79676A14">
      <w:pPr>
        <w:ind w:firstLine="480" w:firstLineChars="200"/>
        <w:rPr>
          <w:rFonts w:ascii="宋体" w:hAnsi="宋体" w:eastAsia="宋体" w:cs="宋体"/>
          <w:sz w:val="24"/>
          <w:szCs w:val="24"/>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-30480</wp:posOffset>
            </wp:positionH>
            <wp:positionV relativeFrom="paragraph">
              <wp:posOffset>88900</wp:posOffset>
            </wp:positionV>
            <wp:extent cx="5266690" cy="3140710"/>
            <wp:effectExtent l="0" t="0" r="0" b="0"/>
            <wp:wrapTopAndBottom/>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clrChange>
                        <a:clrFrom>
                          <a:srgbClr val="FEFEFE">
                            <a:alpha val="100000"/>
                          </a:srgbClr>
                        </a:clrFrom>
                        <a:clrTo>
                          <a:srgbClr val="FEFEFE">
                            <a:alpha val="100000"/>
                            <a:alpha val="0"/>
                          </a:srgbClr>
                        </a:clrTo>
                      </a:clrChange>
                    </a:blip>
                    <a:stretch>
                      <a:fillRect/>
                    </a:stretch>
                  </pic:blipFill>
                  <pic:spPr>
                    <a:xfrm>
                      <a:off x="0" y="0"/>
                      <a:ext cx="5266690" cy="3140710"/>
                    </a:xfrm>
                    <a:prstGeom prst="rect">
                      <a:avLst/>
                    </a:prstGeom>
                    <a:noFill/>
                    <a:ln w="9525">
                      <a:noFill/>
                    </a:ln>
                  </pic:spPr>
                </pic:pic>
              </a:graphicData>
            </a:graphic>
          </wp:anchor>
        </w:drawing>
      </w:r>
    </w:p>
    <w:p w14:paraId="39FFB010">
      <w:pPr>
        <w:pStyle w:val="6"/>
        <w:ind w:firstLine="400" w:firstLineChars="200"/>
        <w:jc w:val="center"/>
        <w:rPr>
          <w:rFonts w:hint="eastAsia"/>
          <w:lang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高级驾驶辅助系统(ADAS)</w:t>
      </w:r>
    </w:p>
    <w:p w14:paraId="6B9D6727">
      <w:pPr>
        <w:rPr>
          <w:rFonts w:hint="eastAsia"/>
          <w:lang w:eastAsia="zh-CN"/>
        </w:rPr>
      </w:pPr>
    </w:p>
    <w:p w14:paraId="3450718B">
      <w:pPr>
        <w:ind w:firstLine="42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制动功能</w:t>
      </w:r>
      <w:r>
        <w:rPr>
          <w:rFonts w:hint="eastAsia" w:asciiTheme="minorEastAsia" w:hAnsiTheme="minorEastAsia" w:cstheme="minorEastAsia"/>
          <w:lang w:val="en-US" w:eastAsia="zh-CN"/>
        </w:rPr>
        <w:t>在</w:t>
      </w:r>
      <w:r>
        <w:rPr>
          <w:rFonts w:hint="eastAsia" w:asciiTheme="minorEastAsia" w:hAnsiTheme="minorEastAsia" w:eastAsiaTheme="minorEastAsia" w:cstheme="minorEastAsia"/>
          <w:lang w:val="en-US" w:eastAsia="zh-CN"/>
        </w:rPr>
        <w:t>ADAS中的核心价值主要体现在两方面：一是作为主动安全的最后防线，通过自动紧急制动（AEB）等功能避免或减轻碰撞事故；二是作为驾驶舒适性的关键支撑，通过自适应巡航（ACC）、交通拥堵辅助（TJA）等功能降低驾驶员负担。随着2025年我国《轻型汽车自动紧急制动系统技术要求及试验方法》由推荐性标准升级为强制性标准，AEBS系统将从“可选配置”变为“必选配置”，标志着ADAS制动技术正式进入技术规范化时代</w:t>
      </w:r>
      <w:r>
        <w:rPr>
          <w:rFonts w:hint="eastAsia" w:asciiTheme="minorEastAsia" w:hAnsiTheme="minorEastAsia" w:cstheme="minorEastAsia"/>
          <w:highlight w:val="yellow"/>
          <w:lang w:val="en-US" w:eastAsia="zh-CN"/>
        </w:rPr>
        <w:t>【3】</w:t>
      </w:r>
      <w:r>
        <w:rPr>
          <w:rFonts w:hint="eastAsia" w:asciiTheme="minorEastAsia" w:hAnsiTheme="minorEastAsia" w:eastAsiaTheme="minorEastAsia" w:cstheme="minorEastAsia"/>
          <w:lang w:val="en-US" w:eastAsia="zh-CN"/>
        </w:rPr>
        <w:t>。</w:t>
      </w:r>
    </w:p>
    <w:p w14:paraId="3917175E">
      <w:pPr>
        <w:pStyle w:val="4"/>
        <w:bidi w:val="0"/>
        <w:jc w:val="left"/>
        <w:rPr>
          <w:rFonts w:hint="eastAsia"/>
          <w:lang w:val="en-US" w:eastAsia="zh-CN"/>
        </w:rPr>
      </w:pPr>
      <w:r>
        <w:rPr>
          <w:rFonts w:hint="eastAsia"/>
          <w:lang w:val="en-US" w:eastAsia="zh-CN"/>
        </w:rPr>
        <w:t>2.L0-L2层级核心制动功能解析</w:t>
      </w:r>
    </w:p>
    <w:p w14:paraId="2C11BB31">
      <w:pPr>
        <w:ind w:firstLine="42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ADAS（高级驾驶辅助系统）的制动功能在不同层级（L0-L2）的实现方式存在显著差异，主要依赖于传感器配置、控制逻辑和驾驶员参与程度。</w:t>
      </w:r>
    </w:p>
    <w:p w14:paraId="0BAE4702">
      <w:pPr>
        <w:ind w:firstLine="420" w:firstLineChars="200"/>
        <w:rPr>
          <w:rFonts w:hint="eastAsia" w:asciiTheme="minorEastAsia" w:hAnsiTheme="minorEastAsia" w:eastAsiaTheme="minorEastAsia" w:cstheme="minorEastAsia"/>
          <w:lang w:val="en-US" w:eastAsia="zh-CN"/>
        </w:rPr>
      </w:pPr>
    </w:p>
    <w:tbl>
      <w:tblPr>
        <w:tblStyle w:val="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4"/>
        <w:gridCol w:w="2873"/>
        <w:gridCol w:w="3705"/>
      </w:tblGrid>
      <w:tr w14:paraId="546E7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41" w:type="pct"/>
            <w:tcBorders>
              <w:top w:val="single" w:color="FFFFFF" w:sz="8" w:space="0"/>
              <w:left w:val="single" w:color="FFFFFF" w:sz="8" w:space="0"/>
              <w:bottom w:val="single" w:color="FFFFFF" w:sz="8" w:space="0"/>
              <w:right w:val="single" w:color="FFFFFF" w:sz="8" w:space="0"/>
            </w:tcBorders>
            <w:shd w:val="clear" w:color="auto" w:fill="4874CB" w:themeFill="accent1"/>
            <w:vAlign w:val="center"/>
          </w:tcPr>
          <w:p w14:paraId="699F21E1">
            <w:pPr>
              <w:jc w:val="center"/>
              <w:rPr>
                <w:rFonts w:hint="eastAsia" w:asciiTheme="minorEastAsia" w:hAnsiTheme="minorEastAsia" w:eastAsiaTheme="minorEastAsia" w:cstheme="minorEastAsia"/>
                <w:b/>
                <w:i w:val="0"/>
                <w:color w:val="FFFFFF"/>
                <w:vertAlign w:val="baseline"/>
                <w:lang w:val="en-US" w:eastAsia="zh-CN"/>
              </w:rPr>
            </w:pPr>
            <w:r>
              <w:rPr>
                <w:rFonts w:hint="eastAsia" w:asciiTheme="minorEastAsia" w:hAnsiTheme="minorEastAsia" w:eastAsiaTheme="minorEastAsia" w:cstheme="minorEastAsia"/>
                <w:b/>
                <w:i w:val="0"/>
                <w:color w:val="FFFFFF"/>
                <w:vertAlign w:val="baseline"/>
                <w:lang w:val="en-US" w:eastAsia="zh-CN"/>
              </w:rPr>
              <w:t>SAE自动驾驶等级</w:t>
            </w:r>
          </w:p>
        </w:tc>
        <w:tc>
          <w:tcPr>
            <w:tcW w:w="1685" w:type="pct"/>
            <w:tcBorders>
              <w:top w:val="single" w:color="FFFFFF" w:sz="8" w:space="0"/>
              <w:left w:val="single" w:color="FFFFFF" w:sz="8" w:space="0"/>
              <w:bottom w:val="single" w:color="FFFFFF" w:sz="8" w:space="0"/>
              <w:right w:val="single" w:color="FFFFFF" w:sz="8" w:space="0"/>
            </w:tcBorders>
            <w:shd w:val="clear" w:color="auto" w:fill="4874CB" w:themeFill="accent1"/>
            <w:vAlign w:val="center"/>
          </w:tcPr>
          <w:p w14:paraId="76259A94">
            <w:pPr>
              <w:jc w:val="center"/>
              <w:rPr>
                <w:rFonts w:hint="eastAsia" w:asciiTheme="minorEastAsia" w:hAnsiTheme="minorEastAsia" w:eastAsiaTheme="minorEastAsia" w:cstheme="minorEastAsia"/>
                <w:b/>
                <w:i w:val="0"/>
                <w:color w:val="FFFFFF"/>
                <w:vertAlign w:val="baseline"/>
                <w:lang w:val="en-US" w:eastAsia="zh-CN"/>
              </w:rPr>
            </w:pPr>
            <w:r>
              <w:rPr>
                <w:rFonts w:hint="eastAsia" w:asciiTheme="minorEastAsia" w:hAnsiTheme="minorEastAsia" w:eastAsiaTheme="minorEastAsia" w:cstheme="minorEastAsia"/>
                <w:b/>
                <w:i w:val="0"/>
                <w:color w:val="FFFFFF"/>
                <w:vertAlign w:val="baseline"/>
                <w:lang w:val="en-US" w:eastAsia="zh-CN"/>
              </w:rPr>
              <w:t>ADAS功能类型</w:t>
            </w:r>
          </w:p>
        </w:tc>
        <w:tc>
          <w:tcPr>
            <w:tcW w:w="2173" w:type="pct"/>
            <w:tcBorders>
              <w:top w:val="single" w:color="FFFFFF" w:sz="8" w:space="0"/>
              <w:left w:val="single" w:color="FFFFFF" w:sz="8" w:space="0"/>
              <w:bottom w:val="single" w:color="FFFFFF" w:sz="8" w:space="0"/>
              <w:right w:val="single" w:color="FFFFFF" w:sz="8" w:space="0"/>
            </w:tcBorders>
            <w:shd w:val="clear" w:color="auto" w:fill="4874CB" w:themeFill="accent1"/>
            <w:vAlign w:val="center"/>
          </w:tcPr>
          <w:p w14:paraId="5A9BD355">
            <w:pPr>
              <w:jc w:val="center"/>
              <w:rPr>
                <w:rFonts w:hint="eastAsia" w:asciiTheme="minorEastAsia" w:hAnsiTheme="minorEastAsia" w:eastAsiaTheme="minorEastAsia" w:cstheme="minorEastAsia"/>
                <w:b/>
                <w:i w:val="0"/>
                <w:color w:val="FFFFFF"/>
                <w:vertAlign w:val="baseline"/>
                <w:lang w:val="en-US" w:eastAsia="zh-CN"/>
              </w:rPr>
            </w:pPr>
            <w:r>
              <w:rPr>
                <w:rFonts w:hint="eastAsia" w:asciiTheme="minorEastAsia" w:hAnsiTheme="minorEastAsia" w:eastAsiaTheme="minorEastAsia" w:cstheme="minorEastAsia"/>
                <w:b/>
                <w:i w:val="0"/>
                <w:color w:val="FFFFFF"/>
                <w:vertAlign w:val="baseline"/>
                <w:lang w:val="en-US" w:eastAsia="zh-CN"/>
              </w:rPr>
              <w:t>ADAS功能示例</w:t>
            </w:r>
          </w:p>
        </w:tc>
      </w:tr>
      <w:tr w14:paraId="7B9AF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41" w:type="pct"/>
            <w:tcBorders>
              <w:top w:val="single" w:color="FFFFFF" w:sz="8" w:space="0"/>
              <w:left w:val="single" w:color="FFFFFF" w:sz="8" w:space="0"/>
              <w:bottom w:val="single" w:color="FFFFFF" w:sz="8" w:space="0"/>
              <w:right w:val="single" w:color="FFFFFF" w:sz="8" w:space="0"/>
            </w:tcBorders>
            <w:shd w:val="clear" w:color="auto" w:fill="B5C7EA" w:themeFill="accent1" w:themeFillTint="66"/>
            <w:vAlign w:val="center"/>
          </w:tcPr>
          <w:p w14:paraId="041EE0DA">
            <w:pPr>
              <w:jc w:val="center"/>
              <w:rPr>
                <w:rFonts w:hint="default" w:asciiTheme="minorEastAsia" w:hAnsiTheme="minorEastAsia" w:eastAsiaTheme="minorEastAsia" w:cstheme="minorEastAsia"/>
                <w:b w:val="0"/>
                <w:i w:val="0"/>
                <w:color w:val="000000"/>
                <w:vertAlign w:val="baseline"/>
                <w:lang w:val="en-US" w:eastAsia="zh-CN"/>
              </w:rPr>
            </w:pPr>
            <w:r>
              <w:rPr>
                <w:rFonts w:hint="eastAsia" w:asciiTheme="minorEastAsia" w:hAnsiTheme="minorEastAsia" w:cstheme="minorEastAsia"/>
                <w:b w:val="0"/>
                <w:i w:val="0"/>
                <w:color w:val="000000"/>
                <w:vertAlign w:val="baseline"/>
                <w:lang w:val="en-US" w:eastAsia="zh-CN"/>
              </w:rPr>
              <w:t>L0</w:t>
            </w:r>
          </w:p>
        </w:tc>
        <w:tc>
          <w:tcPr>
            <w:tcW w:w="1685" w:type="pct"/>
            <w:tcBorders>
              <w:top w:val="single" w:color="FFFFFF" w:sz="8" w:space="0"/>
              <w:left w:val="single" w:color="FFFFFF" w:sz="8" w:space="0"/>
              <w:bottom w:val="single" w:color="FFFFFF" w:sz="8" w:space="0"/>
              <w:right w:val="single" w:color="FFFFFF" w:sz="8" w:space="0"/>
            </w:tcBorders>
            <w:shd w:val="clear" w:color="auto" w:fill="B5C7EA" w:themeFill="accent1" w:themeFillTint="66"/>
            <w:vAlign w:val="center"/>
          </w:tcPr>
          <w:p w14:paraId="0CB3702D">
            <w:pPr>
              <w:jc w:val="center"/>
              <w:rPr>
                <w:rFonts w:hint="eastAsia" w:asciiTheme="minorEastAsia" w:hAnsiTheme="minorEastAsia" w:eastAsiaTheme="minorEastAsia" w:cstheme="minorEastAsia"/>
                <w:b w:val="0"/>
                <w:i w:val="0"/>
                <w:color w:val="000000"/>
                <w:vertAlign w:val="baseline"/>
                <w:lang w:val="en-US" w:eastAsia="zh-CN"/>
              </w:rPr>
            </w:pPr>
            <w:r>
              <w:rPr>
                <w:rFonts w:hint="eastAsia" w:asciiTheme="minorEastAsia" w:hAnsiTheme="minorEastAsia" w:eastAsiaTheme="minorEastAsia" w:cstheme="minorEastAsia"/>
                <w:b w:val="0"/>
                <w:i w:val="0"/>
                <w:color w:val="000000"/>
                <w:vertAlign w:val="baseline"/>
                <w:lang w:val="en-US" w:eastAsia="zh-CN"/>
              </w:rPr>
              <w:t>提醒和瞬态辅助</w:t>
            </w:r>
          </w:p>
        </w:tc>
        <w:tc>
          <w:tcPr>
            <w:tcW w:w="2173" w:type="pct"/>
            <w:tcBorders>
              <w:top w:val="single" w:color="FFFFFF" w:sz="8" w:space="0"/>
              <w:left w:val="single" w:color="FFFFFF" w:sz="8" w:space="0"/>
              <w:bottom w:val="single" w:color="FFFFFF" w:sz="8" w:space="0"/>
              <w:right w:val="single" w:color="FFFFFF" w:sz="8" w:space="0"/>
            </w:tcBorders>
            <w:shd w:val="clear" w:color="auto" w:fill="B5C7EA" w:themeFill="accent1" w:themeFillTint="66"/>
            <w:vAlign w:val="center"/>
          </w:tcPr>
          <w:p w14:paraId="1BD17A44">
            <w:pPr>
              <w:jc w:val="center"/>
              <w:rPr>
                <w:rFonts w:hint="eastAsia" w:asciiTheme="minorEastAsia" w:hAnsiTheme="minorEastAsia" w:eastAsiaTheme="minorEastAsia" w:cstheme="minorEastAsia"/>
                <w:b w:val="0"/>
                <w:i w:val="0"/>
                <w:color w:val="000000"/>
                <w:vertAlign w:val="baseline"/>
                <w:lang w:val="en-US" w:eastAsia="zh-CN"/>
              </w:rPr>
            </w:pPr>
            <w:r>
              <w:rPr>
                <w:rFonts w:hint="eastAsia" w:asciiTheme="minorEastAsia" w:hAnsiTheme="minorEastAsia" w:eastAsiaTheme="minorEastAsia" w:cstheme="minorEastAsia"/>
                <w:b w:val="0"/>
                <w:i w:val="0"/>
                <w:color w:val="000000"/>
                <w:vertAlign w:val="baseline"/>
                <w:lang w:val="en-US" w:eastAsia="zh-CN"/>
              </w:rPr>
              <w:t>FCW前向碰撞预警</w:t>
            </w:r>
          </w:p>
          <w:p w14:paraId="047B4D80">
            <w:pPr>
              <w:jc w:val="center"/>
              <w:rPr>
                <w:rFonts w:hint="eastAsia" w:asciiTheme="minorEastAsia" w:hAnsiTheme="minorEastAsia" w:eastAsiaTheme="minorEastAsia" w:cstheme="minorEastAsia"/>
                <w:b w:val="0"/>
                <w:i w:val="0"/>
                <w:color w:val="000000"/>
                <w:vertAlign w:val="baseline"/>
                <w:lang w:val="en-US" w:eastAsia="zh-CN"/>
              </w:rPr>
            </w:pPr>
            <w:r>
              <w:rPr>
                <w:rFonts w:hint="eastAsia" w:asciiTheme="minorEastAsia" w:hAnsiTheme="minorEastAsia" w:eastAsiaTheme="minorEastAsia" w:cstheme="minorEastAsia"/>
                <w:b w:val="0"/>
                <w:i w:val="0"/>
                <w:color w:val="000000"/>
                <w:vertAlign w:val="baseline"/>
                <w:lang w:val="en-US" w:eastAsia="zh-CN"/>
              </w:rPr>
              <w:t>AEB自动紧急制动</w:t>
            </w:r>
          </w:p>
          <w:p w14:paraId="3CB021F5">
            <w:pPr>
              <w:jc w:val="center"/>
              <w:rPr>
                <w:rFonts w:hint="eastAsia" w:asciiTheme="minorEastAsia" w:hAnsiTheme="minorEastAsia" w:eastAsiaTheme="minorEastAsia" w:cstheme="minorEastAsia"/>
                <w:b w:val="0"/>
                <w:i w:val="0"/>
                <w:color w:val="000000"/>
                <w:vertAlign w:val="baseline"/>
                <w:lang w:val="en-US" w:eastAsia="zh-CN"/>
              </w:rPr>
            </w:pPr>
            <w:r>
              <w:rPr>
                <w:rFonts w:hint="eastAsia" w:asciiTheme="minorEastAsia" w:hAnsiTheme="minorEastAsia" w:eastAsiaTheme="minorEastAsia" w:cstheme="minorEastAsia"/>
                <w:b w:val="0"/>
                <w:i w:val="0"/>
                <w:color w:val="000000"/>
                <w:vertAlign w:val="baseline"/>
                <w:lang w:val="en-US" w:eastAsia="zh-CN"/>
              </w:rPr>
              <w:t>BSW盲区预警</w:t>
            </w:r>
          </w:p>
          <w:p w14:paraId="3DD959D1">
            <w:pPr>
              <w:jc w:val="center"/>
              <w:rPr>
                <w:rFonts w:hint="eastAsia" w:asciiTheme="minorEastAsia" w:hAnsiTheme="minorEastAsia" w:eastAsiaTheme="minorEastAsia" w:cstheme="minorEastAsia"/>
                <w:b w:val="0"/>
                <w:i w:val="0"/>
                <w:color w:val="000000"/>
                <w:vertAlign w:val="baseline"/>
                <w:lang w:val="en-US" w:eastAsia="zh-CN"/>
              </w:rPr>
            </w:pPr>
            <w:r>
              <w:rPr>
                <w:rFonts w:hint="eastAsia" w:asciiTheme="minorEastAsia" w:hAnsiTheme="minorEastAsia" w:eastAsiaTheme="minorEastAsia" w:cstheme="minorEastAsia"/>
                <w:b w:val="0"/>
                <w:i w:val="0"/>
                <w:color w:val="000000"/>
                <w:vertAlign w:val="baseline"/>
                <w:lang w:val="en-US" w:eastAsia="zh-CN"/>
              </w:rPr>
              <w:t>LDW车道偏离预警</w:t>
            </w:r>
          </w:p>
        </w:tc>
      </w:tr>
      <w:tr w14:paraId="7F441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41" w:type="pct"/>
            <w:tcBorders>
              <w:top w:val="single" w:color="FFFFFF" w:sz="8" w:space="0"/>
              <w:left w:val="single" w:color="FFFFFF" w:sz="8" w:space="0"/>
              <w:bottom w:val="single" w:color="FFFFFF" w:sz="8" w:space="0"/>
              <w:right w:val="single" w:color="FFFFFF" w:sz="8" w:space="0"/>
            </w:tcBorders>
            <w:shd w:val="clear" w:color="auto" w:fill="EDF1F9" w:themeFill="accent1" w:themeFillTint="19"/>
            <w:vAlign w:val="center"/>
          </w:tcPr>
          <w:p w14:paraId="6C73B94A">
            <w:pPr>
              <w:jc w:val="center"/>
              <w:rPr>
                <w:rFonts w:hint="default" w:asciiTheme="minorEastAsia" w:hAnsiTheme="minorEastAsia" w:eastAsiaTheme="minorEastAsia" w:cstheme="minorEastAsia"/>
                <w:b w:val="0"/>
                <w:i w:val="0"/>
                <w:color w:val="000000"/>
                <w:vertAlign w:val="baseline"/>
                <w:lang w:val="en-US" w:eastAsia="zh-CN"/>
              </w:rPr>
            </w:pPr>
            <w:r>
              <w:rPr>
                <w:rFonts w:hint="eastAsia" w:asciiTheme="minorEastAsia" w:hAnsiTheme="minorEastAsia" w:cstheme="minorEastAsia"/>
                <w:b w:val="0"/>
                <w:i w:val="0"/>
                <w:color w:val="000000"/>
                <w:vertAlign w:val="baseline"/>
                <w:lang w:val="en-US" w:eastAsia="zh-CN"/>
              </w:rPr>
              <w:t>L1</w:t>
            </w:r>
          </w:p>
        </w:tc>
        <w:tc>
          <w:tcPr>
            <w:tcW w:w="1685" w:type="pct"/>
            <w:tcBorders>
              <w:top w:val="single" w:color="FFFFFF" w:sz="8" w:space="0"/>
              <w:left w:val="single" w:color="FFFFFF" w:sz="8" w:space="0"/>
              <w:bottom w:val="single" w:color="FFFFFF" w:sz="8" w:space="0"/>
              <w:right w:val="single" w:color="FFFFFF" w:sz="8" w:space="0"/>
            </w:tcBorders>
            <w:shd w:val="clear" w:color="auto" w:fill="EDF1F9" w:themeFill="accent1" w:themeFillTint="19"/>
            <w:vAlign w:val="center"/>
          </w:tcPr>
          <w:p w14:paraId="2E9C8718">
            <w:pPr>
              <w:jc w:val="center"/>
              <w:rPr>
                <w:rFonts w:hint="eastAsia" w:asciiTheme="minorEastAsia" w:hAnsiTheme="minorEastAsia" w:eastAsiaTheme="minorEastAsia" w:cstheme="minorEastAsia"/>
                <w:b w:val="0"/>
                <w:i w:val="0"/>
                <w:color w:val="000000"/>
                <w:vertAlign w:val="baseline"/>
                <w:lang w:val="en-US" w:eastAsia="zh-CN"/>
              </w:rPr>
            </w:pPr>
            <w:r>
              <w:rPr>
                <w:rFonts w:hint="eastAsia" w:asciiTheme="minorEastAsia" w:hAnsiTheme="minorEastAsia" w:eastAsiaTheme="minorEastAsia" w:cstheme="minorEastAsia"/>
                <w:b w:val="0"/>
                <w:i w:val="0"/>
                <w:color w:val="000000"/>
                <w:vertAlign w:val="baseline"/>
                <w:lang w:val="en-US" w:eastAsia="zh-CN"/>
              </w:rPr>
              <w:t>横向或纵向控制辅助</w:t>
            </w:r>
          </w:p>
        </w:tc>
        <w:tc>
          <w:tcPr>
            <w:tcW w:w="2173" w:type="pct"/>
            <w:tcBorders>
              <w:top w:val="single" w:color="FFFFFF" w:sz="8" w:space="0"/>
              <w:left w:val="single" w:color="FFFFFF" w:sz="8" w:space="0"/>
              <w:bottom w:val="single" w:color="FFFFFF" w:sz="8" w:space="0"/>
              <w:right w:val="single" w:color="FFFFFF" w:sz="8" w:space="0"/>
            </w:tcBorders>
            <w:shd w:val="clear" w:color="auto" w:fill="EDF1F9" w:themeFill="accent1" w:themeFillTint="19"/>
            <w:vAlign w:val="center"/>
          </w:tcPr>
          <w:p w14:paraId="47188657">
            <w:pPr>
              <w:jc w:val="center"/>
              <w:rPr>
                <w:rFonts w:hint="eastAsia" w:asciiTheme="minorEastAsia" w:hAnsiTheme="minorEastAsia" w:eastAsiaTheme="minorEastAsia" w:cstheme="minorEastAsia"/>
                <w:b w:val="0"/>
                <w:i w:val="0"/>
                <w:color w:val="000000"/>
                <w:vertAlign w:val="baseline"/>
                <w:lang w:val="en-US" w:eastAsia="zh-CN"/>
              </w:rPr>
            </w:pPr>
            <w:r>
              <w:rPr>
                <w:rFonts w:hint="eastAsia" w:asciiTheme="minorEastAsia" w:hAnsiTheme="minorEastAsia" w:eastAsiaTheme="minorEastAsia" w:cstheme="minorEastAsia"/>
                <w:b w:val="0"/>
                <w:i w:val="0"/>
                <w:color w:val="000000"/>
                <w:vertAlign w:val="baseline"/>
                <w:lang w:val="en-US" w:eastAsia="zh-CN"/>
              </w:rPr>
              <w:t>LKA车道保持辅助</w:t>
            </w:r>
          </w:p>
          <w:p w14:paraId="55EA9D28">
            <w:pPr>
              <w:jc w:val="center"/>
              <w:rPr>
                <w:rFonts w:hint="eastAsia" w:asciiTheme="minorEastAsia" w:hAnsiTheme="minorEastAsia" w:eastAsiaTheme="minorEastAsia" w:cstheme="minorEastAsia"/>
                <w:b w:val="0"/>
                <w:i w:val="0"/>
                <w:color w:val="000000"/>
                <w:vertAlign w:val="baseline"/>
                <w:lang w:val="en-US" w:eastAsia="zh-CN"/>
              </w:rPr>
            </w:pPr>
            <w:r>
              <w:rPr>
                <w:rFonts w:hint="eastAsia" w:asciiTheme="minorEastAsia" w:hAnsiTheme="minorEastAsia" w:eastAsiaTheme="minorEastAsia" w:cstheme="minorEastAsia"/>
                <w:b w:val="0"/>
                <w:i w:val="0"/>
                <w:color w:val="000000"/>
                <w:vertAlign w:val="baseline"/>
                <w:lang w:val="en-US" w:eastAsia="zh-CN"/>
              </w:rPr>
              <w:t>ACC自适应巡航控制</w:t>
            </w:r>
          </w:p>
        </w:tc>
      </w:tr>
      <w:tr w14:paraId="78E3D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41" w:type="pct"/>
            <w:tcBorders>
              <w:top w:val="single" w:color="FFFFFF" w:sz="8" w:space="0"/>
              <w:left w:val="single" w:color="FFFFFF" w:sz="8" w:space="0"/>
              <w:bottom w:val="single" w:color="FFFFFF" w:sz="8" w:space="0"/>
              <w:right w:val="single" w:color="FFFFFF" w:sz="8" w:space="0"/>
            </w:tcBorders>
            <w:shd w:val="clear" w:color="auto" w:fill="B5C7EA" w:themeFill="accent1" w:themeFillTint="66"/>
            <w:vAlign w:val="center"/>
          </w:tcPr>
          <w:p w14:paraId="3A407683">
            <w:pPr>
              <w:jc w:val="center"/>
              <w:rPr>
                <w:rFonts w:hint="default" w:asciiTheme="minorEastAsia" w:hAnsiTheme="minorEastAsia" w:eastAsiaTheme="minorEastAsia" w:cstheme="minorEastAsia"/>
                <w:b w:val="0"/>
                <w:i w:val="0"/>
                <w:color w:val="000000"/>
                <w:vertAlign w:val="baseline"/>
                <w:lang w:val="en-US" w:eastAsia="zh-CN"/>
              </w:rPr>
            </w:pPr>
            <w:r>
              <w:rPr>
                <w:rFonts w:hint="eastAsia" w:asciiTheme="minorEastAsia" w:hAnsiTheme="minorEastAsia" w:cstheme="minorEastAsia"/>
                <w:b w:val="0"/>
                <w:i w:val="0"/>
                <w:color w:val="000000"/>
                <w:vertAlign w:val="baseline"/>
                <w:lang w:val="en-US" w:eastAsia="zh-CN"/>
              </w:rPr>
              <w:t>L2</w:t>
            </w:r>
          </w:p>
        </w:tc>
        <w:tc>
          <w:tcPr>
            <w:tcW w:w="1685" w:type="pct"/>
            <w:tcBorders>
              <w:top w:val="single" w:color="FFFFFF" w:sz="8" w:space="0"/>
              <w:left w:val="single" w:color="FFFFFF" w:sz="8" w:space="0"/>
              <w:bottom w:val="single" w:color="FFFFFF" w:sz="8" w:space="0"/>
              <w:right w:val="single" w:color="FFFFFF" w:sz="8" w:space="0"/>
            </w:tcBorders>
            <w:shd w:val="clear" w:color="auto" w:fill="B5C7EA" w:themeFill="accent1" w:themeFillTint="66"/>
            <w:vAlign w:val="center"/>
          </w:tcPr>
          <w:p w14:paraId="15C391DF">
            <w:pPr>
              <w:jc w:val="center"/>
              <w:rPr>
                <w:rFonts w:hint="eastAsia" w:asciiTheme="minorEastAsia" w:hAnsiTheme="minorEastAsia" w:eastAsiaTheme="minorEastAsia" w:cstheme="minorEastAsia"/>
                <w:b w:val="0"/>
                <w:i w:val="0"/>
                <w:color w:val="000000"/>
                <w:vertAlign w:val="baseline"/>
                <w:lang w:val="en-US" w:eastAsia="zh-CN"/>
              </w:rPr>
            </w:pPr>
            <w:r>
              <w:rPr>
                <w:rFonts w:hint="eastAsia" w:asciiTheme="minorEastAsia" w:hAnsiTheme="minorEastAsia" w:eastAsiaTheme="minorEastAsia" w:cstheme="minorEastAsia"/>
                <w:b w:val="0"/>
                <w:i w:val="0"/>
                <w:color w:val="000000"/>
                <w:vertAlign w:val="baseline"/>
                <w:lang w:val="en-US" w:eastAsia="zh-CN"/>
              </w:rPr>
              <w:t>横向和纵向同时控制辅助</w:t>
            </w:r>
          </w:p>
        </w:tc>
        <w:tc>
          <w:tcPr>
            <w:tcW w:w="2173" w:type="pct"/>
            <w:tcBorders>
              <w:top w:val="single" w:color="FFFFFF" w:sz="8" w:space="0"/>
              <w:left w:val="single" w:color="FFFFFF" w:sz="8" w:space="0"/>
              <w:bottom w:val="single" w:color="FFFFFF" w:sz="8" w:space="0"/>
              <w:right w:val="single" w:color="FFFFFF" w:sz="8" w:space="0"/>
            </w:tcBorders>
            <w:shd w:val="clear" w:color="auto" w:fill="B5C7EA" w:themeFill="accent1" w:themeFillTint="66"/>
            <w:vAlign w:val="center"/>
          </w:tcPr>
          <w:p w14:paraId="73682E06">
            <w:pPr>
              <w:jc w:val="center"/>
              <w:rPr>
                <w:rFonts w:hint="default" w:asciiTheme="minorEastAsia" w:hAnsiTheme="minorEastAsia" w:eastAsiaTheme="minorEastAsia" w:cstheme="minorEastAsia"/>
                <w:b w:val="0"/>
                <w:i w:val="0"/>
                <w:color w:val="000000"/>
                <w:vertAlign w:val="baseline"/>
                <w:lang w:val="en-US" w:eastAsia="zh-CN"/>
              </w:rPr>
            </w:pPr>
            <w:r>
              <w:rPr>
                <w:rFonts w:hint="eastAsia" w:asciiTheme="minorEastAsia" w:hAnsiTheme="minorEastAsia" w:eastAsiaTheme="minorEastAsia" w:cstheme="minorEastAsia"/>
                <w:b w:val="0"/>
                <w:i w:val="0"/>
                <w:color w:val="000000"/>
                <w:vertAlign w:val="baseline"/>
                <w:lang w:val="en-US" w:eastAsia="zh-CN"/>
              </w:rPr>
              <w:t>ACC+LKA+</w:t>
            </w:r>
            <w:r>
              <w:rPr>
                <w:rFonts w:hint="eastAsia" w:asciiTheme="minorEastAsia" w:hAnsiTheme="minorEastAsia" w:cstheme="minorEastAsia"/>
                <w:b w:val="0"/>
                <w:i w:val="0"/>
                <w:color w:val="000000"/>
                <w:vertAlign w:val="baseline"/>
                <w:lang w:val="en-US" w:eastAsia="zh-CN"/>
              </w:rPr>
              <w:t>AEB等</w:t>
            </w:r>
          </w:p>
        </w:tc>
      </w:tr>
    </w:tbl>
    <w:p w14:paraId="20655E3F">
      <w:pPr>
        <w:ind w:firstLine="420" w:firstLineChars="200"/>
        <w:rPr>
          <w:rFonts w:hint="eastAsia" w:asciiTheme="minorEastAsia" w:hAnsiTheme="minorEastAsia" w:eastAsiaTheme="minorEastAsia" w:cstheme="minorEastAsia"/>
          <w:lang w:val="en-US" w:eastAsia="zh-CN"/>
        </w:rPr>
      </w:pPr>
    </w:p>
    <w:p w14:paraId="26781017">
      <w:pPr>
        <w:pStyle w:val="6"/>
        <w:ind w:firstLine="400" w:firstLineChars="200"/>
        <w:jc w:val="center"/>
        <w:rPr>
          <w:rFonts w:hint="default"/>
          <w:lang w:val="en-US" w:eastAsia="zh-CN"/>
        </w:rPr>
      </w:pPr>
      <w:r>
        <w:rPr>
          <w:rFonts w:hint="eastAsia"/>
          <w:lang w:val="en-US" w:eastAsia="zh-CN"/>
        </w:rPr>
        <w:t xml:space="preserve">表1 </w:t>
      </w:r>
      <w:r>
        <w:rPr>
          <w:rFonts w:hint="eastAsia"/>
          <w:lang w:eastAsia="zh-CN"/>
        </w:rPr>
        <w:t>2018版SAEQ J3016标准定义的自动驾驶</w:t>
      </w:r>
      <w:r>
        <w:rPr>
          <w:rFonts w:hint="eastAsia"/>
          <w:lang w:val="en-US" w:eastAsia="zh-CN"/>
        </w:rPr>
        <w:t>功能举例</w:t>
      </w:r>
    </w:p>
    <w:p w14:paraId="273A783A">
      <w:pPr>
        <w:rPr>
          <w:rFonts w:hint="eastAsia" w:asciiTheme="minorEastAsia" w:hAnsiTheme="minorEastAsia" w:eastAsiaTheme="minorEastAsia" w:cstheme="minorEastAsia"/>
          <w:lang w:val="en-US" w:eastAsia="zh-CN"/>
        </w:rPr>
      </w:pPr>
    </w:p>
    <w:p w14:paraId="2CE79873">
      <w:pPr>
        <w:pStyle w:val="5"/>
        <w:bidi w:val="0"/>
        <w:rPr>
          <w:rFonts w:hint="eastAsia"/>
          <w:lang w:val="en-US" w:eastAsia="zh-CN"/>
        </w:rPr>
      </w:pPr>
      <w:r>
        <w:rPr>
          <w:rFonts w:hint="eastAsia"/>
          <w:lang w:val="en-US" w:eastAsia="zh-CN"/>
        </w:rPr>
        <w:t>2.1 L0级：基础制动辅助</w:t>
      </w:r>
    </w:p>
    <w:p w14:paraId="786044F5">
      <w:pPr>
        <w:ind w:firstLine="42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L0级ADAS虽不具备主动制动能力，但其电子制动辅助系统为高层级ADAS奠定了基础。该系统主要通过防抱死制动系统（ABS）实时监测车轮转速变化，在紧急制动时自动调节各轮制动力，有效防止车轮抱死导致的车辆失控，特别适用于低附着系数的雨雪路面</w:t>
      </w:r>
      <w:r>
        <w:rPr>
          <w:rFonts w:hint="eastAsia" w:asciiTheme="minorEastAsia" w:hAnsiTheme="minorEastAsia" w:cstheme="minorEastAsia"/>
          <w:lang w:val="en-US" w:eastAsia="zh-CN"/>
        </w:rPr>
        <w:t>。</w:t>
      </w:r>
      <w:r>
        <w:rPr>
          <w:rFonts w:hint="eastAsia" w:asciiTheme="minorEastAsia" w:hAnsiTheme="minorEastAsia" w:eastAsiaTheme="minorEastAsia" w:cstheme="minorEastAsia"/>
          <w:lang w:val="en-US" w:eastAsia="zh-CN"/>
        </w:rPr>
        <w:t>同时，电子制动力分配系统（EBD）根据车辆载荷和行驶状态动态调节前后轴制动力分配比例，避免后轮过早抱死，与ABS协同构成了基础的电子制动控制框架。此外，紧急制动辅助（EBA）通过高精度制动踏板传感器识别驾驶员的紧急制动意图，当检测到踏板踩踏速度超过100mm/s的阈值时自动增大制动力</w:t>
      </w:r>
      <w:r>
        <w:rPr>
          <w:rFonts w:hint="eastAsia" w:asciiTheme="minorEastAsia" w:hAnsiTheme="minorEastAsia" w:cstheme="minorEastAsia"/>
          <w:highlight w:val="yellow"/>
          <w:lang w:val="en-US" w:eastAsia="zh-CN"/>
        </w:rPr>
        <w:t>【4】</w:t>
      </w:r>
      <w:r>
        <w:rPr>
          <w:rFonts w:hint="eastAsia" w:asciiTheme="minorEastAsia" w:hAnsiTheme="minorEastAsia" w:eastAsiaTheme="minorEastAsia" w:cstheme="minorEastAsia"/>
          <w:lang w:val="en-US" w:eastAsia="zh-CN"/>
        </w:rPr>
        <w:t>，但仅对驾驶员发起的制动过程进行优化增强，不具备自主触发能力。</w:t>
      </w:r>
    </w:p>
    <w:p w14:paraId="1F35CF78">
      <w:pPr>
        <w:ind w:firstLine="420" w:firstLineChars="200"/>
        <w:rPr>
          <w:rFonts w:hint="eastAsia"/>
          <w:b/>
          <w:lang w:val="en-US" w:eastAsia="zh-CN"/>
        </w:rPr>
      </w:pPr>
      <w:r>
        <w:rPr>
          <w:rFonts w:hint="eastAsia" w:asciiTheme="minorEastAsia" w:hAnsiTheme="minorEastAsia" w:eastAsiaTheme="minorEastAsia" w:cstheme="minorEastAsia"/>
          <w:lang w:val="en-US" w:eastAsia="zh-CN"/>
        </w:rPr>
        <w:t>在技术实现上，L0级系统依赖轮速传感器、制动压力传感器等车辆状态监测设备和传统液压制动系统，基于预设的车辆动力学模型和PID控制算法进行制动力调节，由于系统架构相对简单，其典型响应时间通常在500ms以上</w:t>
      </w:r>
      <w:r>
        <w:rPr>
          <w:rFonts w:hint="eastAsia" w:asciiTheme="minorEastAsia" w:hAnsiTheme="minorEastAsia" w:cstheme="minorEastAsia"/>
          <w:highlight w:val="yellow"/>
          <w:lang w:val="en-US" w:eastAsia="zh-CN"/>
        </w:rPr>
        <w:t>【5】</w:t>
      </w:r>
      <w:r>
        <w:rPr>
          <w:rFonts w:hint="eastAsia" w:asciiTheme="minorEastAsia" w:hAnsiTheme="minorEastAsia" w:eastAsiaTheme="minorEastAsia" w:cstheme="minorEastAsia"/>
          <w:lang w:val="en-US" w:eastAsia="zh-CN"/>
        </w:rPr>
        <w:t>，这些基础制动技术为后续ADAS系统的演进提供了重要的技术储备。</w:t>
      </w:r>
    </w:p>
    <w:p w14:paraId="0B52F44D">
      <w:pPr>
        <w:pStyle w:val="5"/>
        <w:bidi w:val="0"/>
        <w:rPr>
          <w:rFonts w:hint="eastAsia"/>
          <w:b/>
          <w:lang w:val="en-US" w:eastAsia="zh-CN"/>
        </w:rPr>
      </w:pPr>
      <w:r>
        <w:rPr>
          <w:rFonts w:hint="eastAsia"/>
          <w:b/>
          <w:lang w:val="en-US" w:eastAsia="zh-CN"/>
        </w:rPr>
        <w:t>2.2 L1级：单维度主动制动</w:t>
      </w:r>
    </w:p>
    <w:p w14:paraId="2F03B90E">
      <w:pPr>
        <w:ind w:firstLine="42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L1级ADAS实现了特定场景下的主动制动控制，标志着车辆制动系统完成了从</w:t>
      </w:r>
      <w:r>
        <w:rPr>
          <w:rFonts w:hint="eastAsia" w:asciiTheme="minorEastAsia" w:hAnsiTheme="minorEastAsia" w:cstheme="minorEastAsia"/>
          <w:lang w:val="en-US" w:eastAsia="zh-CN"/>
        </w:rPr>
        <w:t>“</w:t>
      </w:r>
      <w:r>
        <w:rPr>
          <w:rFonts w:hint="eastAsia" w:asciiTheme="minorEastAsia" w:hAnsiTheme="minorEastAsia" w:eastAsiaTheme="minorEastAsia" w:cstheme="minorEastAsia"/>
          <w:lang w:val="en-US" w:eastAsia="zh-CN"/>
        </w:rPr>
        <w:t>辅助执行</w:t>
      </w:r>
      <w:r>
        <w:rPr>
          <w:rFonts w:hint="eastAsia" w:asciiTheme="minorEastAsia" w:hAnsiTheme="minorEastAsia" w:cstheme="minorEastAsia"/>
          <w:lang w:val="en-US" w:eastAsia="zh-CN"/>
        </w:rPr>
        <w:t>”</w:t>
      </w:r>
      <w:r>
        <w:rPr>
          <w:rFonts w:hint="eastAsia" w:asciiTheme="minorEastAsia" w:hAnsiTheme="minorEastAsia" w:eastAsiaTheme="minorEastAsia" w:cstheme="minorEastAsia"/>
          <w:lang w:val="en-US" w:eastAsia="zh-CN"/>
        </w:rPr>
        <w:t>到</w:t>
      </w:r>
      <w:r>
        <w:rPr>
          <w:rFonts w:hint="eastAsia" w:asciiTheme="minorEastAsia" w:hAnsiTheme="minorEastAsia" w:cstheme="minorEastAsia"/>
          <w:lang w:val="en-US" w:eastAsia="zh-CN"/>
        </w:rPr>
        <w:t>“</w:t>
      </w:r>
      <w:r>
        <w:rPr>
          <w:rFonts w:hint="eastAsia" w:asciiTheme="minorEastAsia" w:hAnsiTheme="minorEastAsia" w:eastAsiaTheme="minorEastAsia" w:cstheme="minorEastAsia"/>
          <w:lang w:val="en-US" w:eastAsia="zh-CN"/>
        </w:rPr>
        <w:t>主动控制</w:t>
      </w:r>
      <w:r>
        <w:rPr>
          <w:rFonts w:hint="eastAsia" w:asciiTheme="minorEastAsia" w:hAnsiTheme="minorEastAsia" w:cstheme="minorEastAsia"/>
          <w:lang w:val="en-US" w:eastAsia="zh-CN"/>
        </w:rPr>
        <w:t>”</w:t>
      </w:r>
      <w:r>
        <w:rPr>
          <w:rFonts w:hint="eastAsia" w:asciiTheme="minorEastAsia" w:hAnsiTheme="minorEastAsia" w:eastAsiaTheme="minorEastAsia" w:cstheme="minorEastAsia"/>
          <w:lang w:val="en-US" w:eastAsia="zh-CN"/>
        </w:rPr>
        <w:t>的关键跨越。这一层级最具代表性的功能当属自适应巡航控制（ACC）和自动紧急制动（AEB）</w:t>
      </w:r>
      <w:r>
        <w:rPr>
          <w:rFonts w:hint="eastAsia" w:asciiTheme="minorEastAsia" w:hAnsiTheme="minorEastAsia" w:cstheme="minorEastAsia"/>
          <w:lang w:val="en-US" w:eastAsia="zh-CN"/>
        </w:rPr>
        <w:t>。</w:t>
      </w:r>
      <w:r>
        <w:rPr>
          <w:rFonts w:hint="eastAsia" w:asciiTheme="minorEastAsia" w:hAnsiTheme="minorEastAsia" w:eastAsiaTheme="minorEastAsia" w:cstheme="minorEastAsia"/>
          <w:lang w:val="en-US" w:eastAsia="zh-CN"/>
        </w:rPr>
        <w:t>其中，ACC系统通过毫米波雷达或单目摄像头实时监测前方车辆的距离与相对速度，在30-150km/h的速度范围内自动调节车速以保持安全跟车距离，当检测到前车减速时，系统会通过电子稳定程序（ESP）或ibooster线控制动系统主动施加制动力，实现精准的纵向运动控制，这一功能有效覆盖了高速巡航和拥堵跟车等典型驾驶场景</w:t>
      </w:r>
      <w:r>
        <w:rPr>
          <w:rFonts w:hint="eastAsia" w:asciiTheme="minorEastAsia" w:hAnsiTheme="minorEastAsia" w:cstheme="minorEastAsia"/>
          <w:highlight w:val="yellow"/>
          <w:lang w:val="en-US" w:eastAsia="zh-CN"/>
        </w:rPr>
        <w:t>【6】</w:t>
      </w:r>
      <w:r>
        <w:rPr>
          <w:rFonts w:hint="eastAsia" w:asciiTheme="minorEastAsia" w:hAnsiTheme="minorEastAsia" w:eastAsiaTheme="minorEastAsia" w:cstheme="minorEastAsia"/>
          <w:lang w:val="en-US" w:eastAsia="zh-CN"/>
        </w:rPr>
        <w:t>。与此同时，AEB系统以前向碰撞预警（FCW）为基础，当系统判定存在较高碰撞风险且驾驶员未及时采取制动措施时，会按照</w:t>
      </w:r>
      <w:r>
        <w:rPr>
          <w:rFonts w:hint="eastAsia" w:asciiTheme="minorEastAsia" w:hAnsiTheme="minorEastAsia" w:cstheme="minorEastAsia"/>
          <w:lang w:val="en-US" w:eastAsia="zh-CN"/>
        </w:rPr>
        <w:t>“</w:t>
      </w:r>
      <w:r>
        <w:rPr>
          <w:rFonts w:hint="eastAsia" w:asciiTheme="minorEastAsia" w:hAnsiTheme="minorEastAsia" w:eastAsiaTheme="minorEastAsia" w:cstheme="minorEastAsia"/>
          <w:lang w:val="en-US" w:eastAsia="zh-CN"/>
        </w:rPr>
        <w:t>先预警制动后全力制动</w:t>
      </w:r>
      <w:r>
        <w:rPr>
          <w:rFonts w:hint="eastAsia" w:asciiTheme="minorEastAsia" w:hAnsiTheme="minorEastAsia" w:cstheme="minorEastAsia"/>
          <w:lang w:val="en-US" w:eastAsia="zh-CN"/>
        </w:rPr>
        <w:t>”</w:t>
      </w:r>
      <w:r>
        <w:rPr>
          <w:rFonts w:hint="eastAsia" w:asciiTheme="minorEastAsia" w:hAnsiTheme="minorEastAsia" w:eastAsiaTheme="minorEastAsia" w:cstheme="minorEastAsia"/>
          <w:lang w:val="en-US" w:eastAsia="zh-CN"/>
        </w:rPr>
        <w:t>的分级策略自动介入，目前先进的AEB系统已能在60km/h的速度下完全避免与静止车辆的碰撞，大幅降低了事故伤害程度。</w:t>
      </w:r>
    </w:p>
    <w:p w14:paraId="3350C5C6">
      <w:pPr>
        <w:ind w:firstLine="42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在技术实现层面，L1级系统主要采用单传感器配置</w:t>
      </w:r>
      <w:r>
        <w:rPr>
          <w:rFonts w:hint="eastAsia" w:asciiTheme="minorEastAsia" w:hAnsiTheme="minorEastAsia" w:cstheme="minorEastAsia"/>
          <w:lang w:val="en-US" w:eastAsia="zh-CN"/>
        </w:rPr>
        <w:t>，</w:t>
      </w:r>
      <w:r>
        <w:rPr>
          <w:rFonts w:hint="eastAsia" w:asciiTheme="minorEastAsia" w:hAnsiTheme="minorEastAsia" w:eastAsiaTheme="minorEastAsia" w:cstheme="minorEastAsia"/>
          <w:lang w:val="en-US" w:eastAsia="zh-CN"/>
        </w:rPr>
        <w:t>由独立的电子控制单元（ECU）完成决策控制，并通过ESP或初代线控制动系统执行制动操作，整个系统需满足ISO 26262 ASIL-B功能安全等级要求，将误触发率严格控制在0.1%/1000km以内</w:t>
      </w:r>
      <w:r>
        <w:rPr>
          <w:rFonts w:hint="eastAsia" w:asciiTheme="minorEastAsia" w:hAnsiTheme="minorEastAsia" w:cstheme="minorEastAsia"/>
          <w:highlight w:val="yellow"/>
          <w:lang w:val="en-US" w:eastAsia="zh-CN"/>
        </w:rPr>
        <w:t>【7】</w:t>
      </w:r>
      <w:r>
        <w:rPr>
          <w:rFonts w:hint="eastAsia" w:asciiTheme="minorEastAsia" w:hAnsiTheme="minorEastAsia" w:eastAsiaTheme="minorEastAsia" w:cstheme="minorEastAsia"/>
          <w:lang w:val="en-US" w:eastAsia="zh-CN"/>
        </w:rPr>
        <w:t>。以丰田TSS-P系统为例，该系统通过单目摄像头与毫米波雷达的协同工作，配合ESP实现制动控制，不仅符合Euro NCAP五星安全标准，其AEB功能更能在60km/h的速度下有效避免碰撞，充分展现了L1级ADAS在主动安全方面的技术实力。</w:t>
      </w:r>
    </w:p>
    <w:p w14:paraId="7D64CB31">
      <w:pPr>
        <w:rPr>
          <w:rFonts w:hint="eastAsia" w:asciiTheme="minorEastAsia" w:hAnsiTheme="minorEastAsia" w:eastAsiaTheme="minorEastAsia" w:cstheme="minorEastAsia"/>
          <w:lang w:val="en-US" w:eastAsia="zh-CN"/>
        </w:rPr>
      </w:pPr>
    </w:p>
    <w:p w14:paraId="68CA4E0B">
      <w:pPr>
        <w:rPr>
          <w:rFonts w:hint="eastAsia" w:asciiTheme="minorEastAsia" w:hAnsiTheme="minorEastAsia" w:eastAsiaTheme="minorEastAsia" w:cstheme="minorEastAsia"/>
          <w:lang w:val="en-US" w:eastAsia="zh-CN"/>
        </w:rPr>
      </w:pPr>
    </w:p>
    <w:p w14:paraId="7938106C">
      <w:pPr>
        <w:pStyle w:val="5"/>
        <w:bidi w:val="0"/>
        <w:rPr>
          <w:rFonts w:hint="eastAsia"/>
          <w:b/>
          <w:lang w:val="en-US" w:eastAsia="zh-CN"/>
        </w:rPr>
      </w:pPr>
      <w:r>
        <w:rPr>
          <w:rFonts w:hint="eastAsia"/>
          <w:b/>
          <w:lang w:val="en-US" w:eastAsia="zh-CN"/>
        </w:rPr>
        <w:t>2.3 L2级：多维度协同制动</w:t>
      </w:r>
    </w:p>
    <w:p w14:paraId="19681432">
      <w:pPr>
        <w:rPr>
          <w:rFonts w:ascii="宋体" w:hAnsi="宋体" w:eastAsia="宋体" w:cs="宋体"/>
          <w:sz w:val="24"/>
          <w:szCs w:val="24"/>
        </w:rPr>
      </w:pPr>
      <w:r>
        <w:rPr>
          <w:rFonts w:ascii="宋体" w:hAnsi="宋体" w:eastAsia="宋体" w:cs="宋体"/>
          <w:sz w:val="24"/>
          <w:szCs w:val="24"/>
        </w:rPr>
        <w:drawing>
          <wp:inline distT="0" distB="0" distL="114300" distR="114300">
            <wp:extent cx="5262245" cy="2750185"/>
            <wp:effectExtent l="0" t="0" r="8255" b="5715"/>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5"/>
                    <a:stretch>
                      <a:fillRect/>
                    </a:stretch>
                  </pic:blipFill>
                  <pic:spPr>
                    <a:xfrm>
                      <a:off x="0" y="0"/>
                      <a:ext cx="5262245" cy="2750185"/>
                    </a:xfrm>
                    <a:prstGeom prst="rect">
                      <a:avLst/>
                    </a:prstGeom>
                    <a:noFill/>
                    <a:ln w="9525">
                      <a:noFill/>
                    </a:ln>
                  </pic:spPr>
                </pic:pic>
              </a:graphicData>
            </a:graphic>
          </wp:inline>
        </w:drawing>
      </w:r>
    </w:p>
    <w:p w14:paraId="78F53B77">
      <w:pPr>
        <w:pStyle w:val="6"/>
        <w:jc w:val="center"/>
        <w:rPr>
          <w:rFonts w:hint="default" w:ascii="宋体" w:hAnsi="宋体" w:cs="宋体" w:eastAsiaTheme="minorEastAsia"/>
          <w:sz w:val="24"/>
          <w:szCs w:val="24"/>
          <w:highlight w:val="yellow"/>
          <w:lang w:val="en-US"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Level 2级别的ADAS系统网络架构</w:t>
      </w:r>
      <w:r>
        <w:rPr>
          <w:rFonts w:hint="eastAsia"/>
          <w:highlight w:val="yellow"/>
          <w:lang w:eastAsia="zh-CN"/>
        </w:rPr>
        <w:t>【</w:t>
      </w:r>
      <w:r>
        <w:rPr>
          <w:rFonts w:hint="eastAsia"/>
          <w:highlight w:val="yellow"/>
          <w:lang w:val="en-US" w:eastAsia="zh-CN"/>
        </w:rPr>
        <w:t>8】</w:t>
      </w:r>
    </w:p>
    <w:p w14:paraId="771CCA98">
      <w:pPr>
        <w:rPr>
          <w:rFonts w:hint="eastAsia" w:ascii="宋体" w:hAnsi="宋体" w:eastAsia="宋体" w:cs="宋体"/>
          <w:sz w:val="24"/>
          <w:szCs w:val="24"/>
          <w:lang w:val="en-US" w:eastAsia="zh-CN"/>
        </w:rPr>
      </w:pPr>
    </w:p>
    <w:p w14:paraId="794C92F1">
      <w:pPr>
        <w:rPr>
          <w:rFonts w:hint="eastAsia" w:ascii="宋体" w:hAnsi="宋体" w:eastAsia="宋体" w:cs="宋体"/>
          <w:sz w:val="24"/>
          <w:szCs w:val="24"/>
          <w:lang w:val="en-US" w:eastAsia="zh-CN"/>
        </w:rPr>
      </w:pPr>
    </w:p>
    <w:p w14:paraId="68F120AD">
      <w:pPr>
        <w:ind w:firstLine="420" w:firstLineChars="200"/>
        <w:rPr>
          <w:rFonts w:hint="eastAsia" w:asciiTheme="minorEastAsia" w:hAnsiTheme="minorEastAsia" w:cstheme="minorEastAsia"/>
          <w:lang w:val="en-US" w:eastAsia="zh-CN"/>
        </w:rPr>
      </w:pPr>
      <w:r>
        <w:rPr>
          <w:rFonts w:hint="eastAsia" w:asciiTheme="minorEastAsia" w:hAnsiTheme="minorEastAsia" w:eastAsiaTheme="minorEastAsia" w:cstheme="minorEastAsia"/>
          <w:lang w:val="en-US" w:eastAsia="zh-CN"/>
        </w:rPr>
        <w:t>L2级ADAS标志着车辆控制系统实现了横向与纵向运动的深度融合，使制动系统在多场景协同控制中发挥着更为核心的作用。这一层级最具代表性的功能包括交通拥堵辅助（TJA）、自动泊车辅助（APA）和全场景自动紧急制动系统。其中，TJA系统通过将自适应巡航与车道保持功能有机结合，在0-60km/h的低速工况下实现智能跟车和自动启停控制，借助多传感器融合技术精确感知前方车辆与车道线信息，使制动系统能够实现厘米级的距离保持和平顺的舒适性制动，显著缓解了城市拥堵路段的驾驶疲劳。同时，APA系统利用超声波雷达与环视摄像头的协同探测，自动控制转向、驱动和制动系统完成泊车操作，当前最先进的APA系统已能实现仅比车宽多0.6米的极窄车位自动泊入，制动控制精度达到厘米级。更为突破性的是全场景自动紧急制动系统的应用，以鸿蒙智行eAES系统为例，其创新的</w:t>
      </w:r>
      <w:r>
        <w:rPr>
          <w:rFonts w:hint="eastAsia" w:asciiTheme="minorEastAsia" w:hAnsiTheme="minorEastAsia" w:cstheme="minorEastAsia"/>
          <w:lang w:val="en-US" w:eastAsia="zh-CN"/>
        </w:rPr>
        <w:t>“</w:t>
      </w:r>
      <w:r>
        <w:rPr>
          <w:rFonts w:hint="eastAsia" w:asciiTheme="minorEastAsia" w:hAnsiTheme="minorEastAsia" w:eastAsiaTheme="minorEastAsia" w:cstheme="minorEastAsia"/>
          <w:lang w:val="en-US" w:eastAsia="zh-CN"/>
        </w:rPr>
        <w:t>边刹边让</w:t>
      </w:r>
      <w:r>
        <w:rPr>
          <w:rFonts w:hint="eastAsia" w:asciiTheme="minorEastAsia" w:hAnsiTheme="minorEastAsia" w:cstheme="minorEastAsia"/>
          <w:lang w:val="en-US" w:eastAsia="zh-CN"/>
        </w:rPr>
        <w:t>”</w:t>
      </w:r>
      <w:r>
        <w:rPr>
          <w:rFonts w:hint="eastAsia" w:asciiTheme="minorEastAsia" w:hAnsiTheme="minorEastAsia" w:eastAsiaTheme="minorEastAsia" w:cstheme="minorEastAsia"/>
          <w:lang w:val="en-US" w:eastAsia="zh-CN"/>
        </w:rPr>
        <w:t>功能在检测到碰撞风险时能同步触发制动减速和横向避让动作，将事故伤害降至最低</w:t>
      </w:r>
      <w:r>
        <w:rPr>
          <w:rFonts w:hint="eastAsia" w:asciiTheme="minorEastAsia" w:hAnsiTheme="minorEastAsia" w:cstheme="minorEastAsia"/>
          <w:highlight w:val="yellow"/>
          <w:lang w:val="en-US" w:eastAsia="zh-CN"/>
        </w:rPr>
        <w:t>【9】</w:t>
      </w:r>
      <w:r>
        <w:rPr>
          <w:rFonts w:hint="eastAsia" w:asciiTheme="minorEastAsia" w:hAnsiTheme="minorEastAsia" w:eastAsiaTheme="minorEastAsia" w:cstheme="minorEastAsia"/>
          <w:lang w:val="en-US" w:eastAsia="zh-CN"/>
        </w:rPr>
        <w:t>。</w:t>
      </w:r>
      <w:r>
        <w:rPr>
          <w:rFonts w:hint="eastAsia" w:asciiTheme="minorEastAsia" w:hAnsiTheme="minorEastAsia" w:cstheme="minorEastAsia"/>
          <w:lang w:val="en-US" w:eastAsia="zh-CN"/>
        </w:rPr>
        <w:t xml:space="preserve">   </w:t>
      </w:r>
    </w:p>
    <w:p w14:paraId="6185AF80">
      <w:pPr>
        <w:ind w:firstLine="42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在技术实现上，L2级系统主要依赖于多传感器融合架构（如摄像头+毫米波雷达+超声波雷达的组合）和域控制器技术，以特斯拉Autopilot系统为例，其通过8个摄像头和12个超声波雷达的协同工作，由FSD芯片实时计算最优制动指令，实现了TJA和APA等高级功能</w:t>
      </w:r>
      <w:r>
        <w:rPr>
          <w:rFonts w:hint="eastAsia" w:asciiTheme="minorEastAsia" w:hAnsiTheme="minorEastAsia" w:cstheme="minorEastAsia"/>
          <w:highlight w:val="yellow"/>
          <w:lang w:val="en-US" w:eastAsia="zh-CN"/>
        </w:rPr>
        <w:t>【10】</w:t>
      </w:r>
      <w:r>
        <w:rPr>
          <w:rFonts w:hint="eastAsia" w:asciiTheme="minorEastAsia" w:hAnsiTheme="minorEastAsia" w:cstheme="minorEastAsia"/>
          <w:lang w:val="en-US" w:eastAsia="zh-CN"/>
        </w:rPr>
        <w:t>。</w:t>
      </w:r>
    </w:p>
    <w:p w14:paraId="4EE6D0C9">
      <w:pPr>
        <w:rPr>
          <w:rFonts w:hint="eastAsia" w:asciiTheme="minorEastAsia" w:hAnsiTheme="minorEastAsia" w:eastAsiaTheme="minorEastAsia" w:cstheme="minorEastAsia"/>
          <w:lang w:val="en-US" w:eastAsia="zh-CN"/>
        </w:rPr>
      </w:pPr>
    </w:p>
    <w:p w14:paraId="11510270">
      <w:pPr>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[1]全国汽车标准化技术委员会(SAC/TC 114).汽车驾驶自动化分级:GB/T 40429-2021[S].中国标准出版社,2021.</w:t>
      </w:r>
    </w:p>
    <w:p w14:paraId="08FAE9B3">
      <w:pPr>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w:t>
      </w:r>
      <w:r>
        <w:rPr>
          <w:rFonts w:hint="eastAsia" w:asciiTheme="minorEastAsia" w:hAnsiTheme="minorEastAsia" w:cstheme="minorEastAsia"/>
          <w:lang w:val="en-US" w:eastAsia="zh-CN"/>
        </w:rPr>
        <w:t>2</w:t>
      </w:r>
      <w:r>
        <w:rPr>
          <w:rFonts w:hint="eastAsia" w:asciiTheme="minorEastAsia" w:hAnsiTheme="minorEastAsia" w:eastAsiaTheme="minorEastAsia" w:cstheme="minorEastAsia"/>
          <w:lang w:val="en-US" w:eastAsia="zh-CN"/>
        </w:rPr>
        <w:t>]赵燃,李刚炎,胥军,等.基于自动驾驶的汽车智能制动系统架构设计及功能分级[J].客车技术与研究,2024,46(04):1-7.DOI:10.15917/j.cnki.1006-3331.2024.04.008.</w:t>
      </w:r>
    </w:p>
    <w:p w14:paraId="7B4AD8AA">
      <w:pPr>
        <w:numPr>
          <w:ilvl w:val="0"/>
          <w:numId w:val="0"/>
        </w:numPr>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kern w:val="2"/>
          <w:sz w:val="21"/>
          <w:szCs w:val="24"/>
          <w:lang w:val="en-US" w:eastAsia="zh-CN" w:bidi="ar-SA"/>
        </w:rPr>
        <w:t>[</w:t>
      </w:r>
      <w:r>
        <w:rPr>
          <w:rFonts w:hint="eastAsia" w:asciiTheme="minorEastAsia" w:hAnsiTheme="minorEastAsia" w:cstheme="minorEastAsia"/>
          <w:kern w:val="2"/>
          <w:sz w:val="21"/>
          <w:szCs w:val="24"/>
          <w:lang w:val="en-US" w:eastAsia="zh-CN" w:bidi="ar-SA"/>
        </w:rPr>
        <w:t>3</w:t>
      </w:r>
      <w:r>
        <w:rPr>
          <w:rFonts w:hint="eastAsia" w:asciiTheme="minorEastAsia" w:hAnsiTheme="minorEastAsia" w:eastAsiaTheme="minorEastAsia" w:cstheme="minorEastAsia"/>
          <w:kern w:val="2"/>
          <w:sz w:val="21"/>
          <w:szCs w:val="24"/>
          <w:lang w:val="en-US" w:eastAsia="zh-CN" w:bidi="ar-SA"/>
        </w:rPr>
        <w:t>]</w:t>
      </w:r>
      <w:r>
        <w:rPr>
          <w:rFonts w:hint="eastAsia" w:asciiTheme="minorEastAsia" w:hAnsiTheme="minorEastAsia" w:eastAsiaTheme="minorEastAsia" w:cstheme="minorEastAsia"/>
          <w:lang w:val="en-US" w:eastAsia="zh-CN"/>
        </w:rPr>
        <w:t>何班本,文翊,刘帅.高级驾驶辅助系统（Level 2）开发研究[J].汽车文摘,2020,(12):48-53.DOI:10.19822/j.cnki.1671-6329.20200130.</w:t>
      </w:r>
    </w:p>
    <w:p w14:paraId="784895E6">
      <w:pPr>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w:t>
      </w:r>
      <w:r>
        <w:rPr>
          <w:rFonts w:hint="eastAsia" w:asciiTheme="minorEastAsia" w:hAnsiTheme="minorEastAsia" w:cstheme="minorEastAsia"/>
          <w:lang w:val="en-US" w:eastAsia="zh-CN"/>
        </w:rPr>
        <w:t>4</w:t>
      </w:r>
      <w:r>
        <w:rPr>
          <w:rFonts w:hint="eastAsia" w:asciiTheme="minorEastAsia" w:hAnsiTheme="minorEastAsia" w:eastAsiaTheme="minorEastAsia" w:cstheme="minorEastAsia"/>
          <w:lang w:val="en-US" w:eastAsia="zh-CN"/>
        </w:rPr>
        <w:t>] SAE J2400:2019, Road Vehicles - Brake Assist Systems Performance Requirements[S].</w:t>
      </w:r>
    </w:p>
    <w:p w14:paraId="7310F706">
      <w:pPr>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w:t>
      </w:r>
      <w:r>
        <w:rPr>
          <w:rFonts w:hint="eastAsia" w:asciiTheme="minorEastAsia" w:hAnsiTheme="minorEastAsia" w:cstheme="minorEastAsia"/>
          <w:lang w:val="en-US" w:eastAsia="zh-CN"/>
        </w:rPr>
        <w:t>5</w:t>
      </w:r>
      <w:r>
        <w:rPr>
          <w:rFonts w:hint="eastAsia" w:asciiTheme="minorEastAsia" w:hAnsiTheme="minorEastAsia" w:eastAsiaTheme="minorEastAsia" w:cstheme="minorEastAsia"/>
          <w:lang w:val="en-US" w:eastAsia="zh-CN"/>
        </w:rPr>
        <w:t>] Bosch. Hydraulic Brake System Response Analysis[R]. 2019:23.</w:t>
      </w:r>
    </w:p>
    <w:p w14:paraId="4E1269B2">
      <w:pPr>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w:t>
      </w:r>
      <w:r>
        <w:rPr>
          <w:rFonts w:hint="eastAsia" w:asciiTheme="minorEastAsia" w:hAnsiTheme="minorEastAsia" w:cstheme="minorEastAsia"/>
          <w:lang w:val="en-US" w:eastAsia="zh-CN"/>
        </w:rPr>
        <w:t>6</w:t>
      </w:r>
      <w:r>
        <w:rPr>
          <w:rFonts w:hint="eastAsia" w:asciiTheme="minorEastAsia" w:hAnsiTheme="minorEastAsia" w:eastAsiaTheme="minorEastAsia" w:cstheme="minorEastAsia"/>
          <w:lang w:val="en-US" w:eastAsia="zh-CN"/>
        </w:rPr>
        <w:t>]赵玺龙.车辆自适应巡航系统发展现状研究[J].汽车实用技术,2024,49(12):29-34.DOI:10.16638/j.cnki.1671-7988.2024.012.007.</w:t>
      </w:r>
    </w:p>
    <w:p w14:paraId="05B0DC15">
      <w:pPr>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w:t>
      </w:r>
      <w:r>
        <w:rPr>
          <w:rFonts w:hint="eastAsia" w:asciiTheme="minorEastAsia" w:hAnsiTheme="minorEastAsia" w:cstheme="minorEastAsia"/>
          <w:lang w:val="en-US" w:eastAsia="zh-CN"/>
        </w:rPr>
        <w:t>7</w:t>
      </w:r>
      <w:r>
        <w:rPr>
          <w:rFonts w:hint="eastAsia" w:asciiTheme="minorEastAsia" w:hAnsiTheme="minorEastAsia" w:eastAsiaTheme="minorEastAsia" w:cstheme="minorEastAsia"/>
          <w:lang w:val="en-US" w:eastAsia="zh-CN"/>
        </w:rPr>
        <w:t>] ISO 26262:2018, Road vehicles - Functional safety[S]. Part9:5.2.</w:t>
      </w:r>
    </w:p>
    <w:p w14:paraId="7809C487">
      <w:pPr>
        <w:numPr>
          <w:ilvl w:val="0"/>
          <w:numId w:val="0"/>
        </w:numPr>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kern w:val="2"/>
          <w:sz w:val="21"/>
          <w:szCs w:val="24"/>
          <w:lang w:val="en-US" w:eastAsia="zh-CN" w:bidi="ar-SA"/>
        </w:rPr>
        <w:t>[</w:t>
      </w:r>
      <w:r>
        <w:rPr>
          <w:rFonts w:hint="eastAsia" w:asciiTheme="minorEastAsia" w:hAnsiTheme="minorEastAsia" w:cstheme="minorEastAsia"/>
          <w:kern w:val="2"/>
          <w:sz w:val="21"/>
          <w:szCs w:val="24"/>
          <w:lang w:val="en-US" w:eastAsia="zh-CN" w:bidi="ar-SA"/>
        </w:rPr>
        <w:t>8</w:t>
      </w:r>
      <w:r>
        <w:rPr>
          <w:rFonts w:hint="eastAsia" w:asciiTheme="minorEastAsia" w:hAnsiTheme="minorEastAsia" w:eastAsiaTheme="minorEastAsia" w:cstheme="minorEastAsia"/>
          <w:kern w:val="2"/>
          <w:sz w:val="21"/>
          <w:szCs w:val="24"/>
          <w:lang w:val="en-US" w:eastAsia="zh-CN" w:bidi="ar-SA"/>
        </w:rPr>
        <w:t>]</w:t>
      </w:r>
      <w:r>
        <w:rPr>
          <w:rFonts w:hint="eastAsia" w:asciiTheme="minorEastAsia" w:hAnsiTheme="minorEastAsia" w:eastAsiaTheme="minorEastAsia" w:cstheme="minorEastAsia"/>
          <w:lang w:val="en-US" w:eastAsia="zh-CN"/>
        </w:rPr>
        <w:t>汽车新国标推动安全升级，鸿蒙智行以技术实力筑牢主动安全防线</w:t>
      </w:r>
      <w:r>
        <w:rPr>
          <w:rFonts w:hint="eastAsia" w:asciiTheme="minorEastAsia" w:hAnsiTheme="minorEastAsia" w:eastAsiaTheme="minorEastAsia" w:cstheme="minorEastAsia"/>
          <w:lang w:val="en-US" w:eastAsia="zh-CN"/>
        </w:rPr>
        <w:fldChar w:fldCharType="begin"/>
      </w:r>
      <w:r>
        <w:rPr>
          <w:rFonts w:hint="eastAsia" w:asciiTheme="minorEastAsia" w:hAnsiTheme="minorEastAsia" w:eastAsiaTheme="minorEastAsia" w:cstheme="minorEastAsia"/>
          <w:lang w:val="en-US" w:eastAsia="zh-CN"/>
        </w:rPr>
        <w:instrText xml:space="preserve"> HYPERLINK "https://www.kejixun.com/article/721390.html" </w:instrText>
      </w:r>
      <w:r>
        <w:rPr>
          <w:rFonts w:hint="eastAsia" w:asciiTheme="minorEastAsia" w:hAnsiTheme="minorEastAsia" w:eastAsiaTheme="minorEastAsia" w:cstheme="minorEastAsia"/>
          <w:lang w:val="en-US" w:eastAsia="zh-CN"/>
        </w:rPr>
        <w:fldChar w:fldCharType="separate"/>
      </w:r>
      <w:r>
        <w:rPr>
          <w:rStyle w:val="13"/>
          <w:rFonts w:hint="eastAsia" w:asciiTheme="minorEastAsia" w:hAnsiTheme="minorEastAsia" w:eastAsiaTheme="minorEastAsia" w:cstheme="minorEastAsia"/>
          <w:lang w:val="en-US" w:eastAsia="zh-CN"/>
        </w:rPr>
        <w:t>https://www.kejixun.com/article/721390.html</w:t>
      </w:r>
      <w:r>
        <w:rPr>
          <w:rFonts w:hint="eastAsia" w:asciiTheme="minorEastAsia" w:hAnsiTheme="minorEastAsia" w:eastAsiaTheme="minorEastAsia" w:cstheme="minorEastAsia"/>
          <w:lang w:val="en-US" w:eastAsia="zh-CN"/>
        </w:rPr>
        <w:fldChar w:fldCharType="end"/>
      </w:r>
    </w:p>
    <w:p w14:paraId="184A8258">
      <w:pPr>
        <w:numPr>
          <w:ilvl w:val="0"/>
          <w:numId w:val="0"/>
        </w:numPr>
        <w:jc w:val="left"/>
        <w:rPr>
          <w:rFonts w:hint="eastAsia" w:asciiTheme="minorEastAsia" w:hAnsiTheme="minorEastAsia" w:eastAsiaTheme="minorEastAsia" w:cstheme="minorEastAsia"/>
          <w:b w:val="0"/>
          <w:bCs w:val="0"/>
          <w:kern w:val="2"/>
          <w:sz w:val="21"/>
          <w:szCs w:val="24"/>
          <w:lang w:val="en-US" w:eastAsia="zh-CN" w:bidi="ar-SA"/>
        </w:rPr>
      </w:pPr>
      <w:r>
        <w:rPr>
          <w:rFonts w:hint="eastAsia" w:asciiTheme="minorEastAsia" w:hAnsiTheme="minorEastAsia" w:eastAsiaTheme="minorEastAsia" w:cstheme="minorEastAsia"/>
          <w:b w:val="0"/>
          <w:bCs w:val="0"/>
          <w:kern w:val="2"/>
          <w:sz w:val="21"/>
          <w:szCs w:val="24"/>
          <w:lang w:val="en-US" w:eastAsia="zh-CN" w:bidi="ar-SA"/>
        </w:rPr>
        <w:t>[</w:t>
      </w:r>
      <w:r>
        <w:rPr>
          <w:rFonts w:hint="eastAsia" w:asciiTheme="minorEastAsia" w:hAnsiTheme="minorEastAsia" w:cstheme="minorEastAsia"/>
          <w:b w:val="0"/>
          <w:bCs w:val="0"/>
          <w:kern w:val="2"/>
          <w:sz w:val="21"/>
          <w:szCs w:val="24"/>
          <w:lang w:val="en-US" w:eastAsia="zh-CN" w:bidi="ar-SA"/>
        </w:rPr>
        <w:t>9</w:t>
      </w:r>
      <w:r>
        <w:rPr>
          <w:rFonts w:hint="eastAsia" w:asciiTheme="minorEastAsia" w:hAnsiTheme="minorEastAsia" w:eastAsiaTheme="minorEastAsia" w:cstheme="minorEastAsia"/>
          <w:b w:val="0"/>
          <w:bCs w:val="0"/>
          <w:kern w:val="2"/>
          <w:sz w:val="21"/>
          <w:szCs w:val="24"/>
          <w:lang w:val="en-US" w:eastAsia="zh-CN" w:bidi="ar-SA"/>
        </w:rPr>
        <w:t>]</w:t>
      </w:r>
      <w:r>
        <w:rPr>
          <w:rFonts w:hint="default" w:asciiTheme="minorEastAsia" w:hAnsiTheme="minorEastAsia" w:eastAsiaTheme="minorEastAsia" w:cstheme="minorEastAsia"/>
          <w:b w:val="0"/>
          <w:bCs w:val="0"/>
          <w:kern w:val="2"/>
          <w:sz w:val="21"/>
          <w:szCs w:val="24"/>
          <w:lang w:val="en-US" w:eastAsia="zh-CN" w:bidi="ar-SA"/>
        </w:rPr>
        <w:t>从AEB到eAES：华为「边刹边让」如何实现主动安全的技术升维？</w:t>
      </w:r>
    </w:p>
    <w:p w14:paraId="7A9CD569">
      <w:pPr>
        <w:numPr>
          <w:ilvl w:val="0"/>
          <w:numId w:val="0"/>
        </w:numPr>
        <w:jc w:val="left"/>
        <w:rPr>
          <w:rFonts w:hint="default" w:asciiTheme="minorEastAsia" w:hAnsiTheme="minorEastAsia" w:eastAsiaTheme="minorEastAsia" w:cstheme="minorEastAsia"/>
          <w:lang w:val="en-US" w:eastAsia="zh-CN"/>
        </w:rPr>
      </w:pPr>
      <w:r>
        <w:rPr>
          <w:rFonts w:hint="eastAsia" w:asciiTheme="minorEastAsia" w:hAnsiTheme="minorEastAsia" w:cstheme="minorEastAsia"/>
          <w:lang w:val="en-US" w:eastAsia="zh-CN"/>
        </w:rPr>
        <w:t>https://news.qq.com/rain/a/20250428A0300V00</w:t>
      </w:r>
    </w:p>
    <w:p w14:paraId="2234106C">
      <w:pPr>
        <w:numPr>
          <w:ilvl w:val="0"/>
          <w:numId w:val="0"/>
        </w:numPr>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kern w:val="2"/>
          <w:sz w:val="21"/>
          <w:szCs w:val="24"/>
          <w:lang w:val="en-US" w:eastAsia="zh-CN" w:bidi="ar-SA"/>
        </w:rPr>
        <w:t>[</w:t>
      </w:r>
      <w:r>
        <w:rPr>
          <w:rFonts w:hint="eastAsia" w:asciiTheme="minorEastAsia" w:hAnsiTheme="minorEastAsia" w:cstheme="minorEastAsia"/>
          <w:kern w:val="2"/>
          <w:sz w:val="21"/>
          <w:szCs w:val="24"/>
          <w:lang w:val="en-US" w:eastAsia="zh-CN" w:bidi="ar-SA"/>
        </w:rPr>
        <w:t>10</w:t>
      </w:r>
      <w:r>
        <w:rPr>
          <w:rFonts w:hint="eastAsia" w:asciiTheme="minorEastAsia" w:hAnsiTheme="minorEastAsia" w:eastAsiaTheme="minorEastAsia" w:cstheme="minorEastAsia"/>
          <w:kern w:val="2"/>
          <w:sz w:val="21"/>
          <w:szCs w:val="24"/>
          <w:lang w:val="en-US" w:eastAsia="zh-CN" w:bidi="ar-SA"/>
        </w:rPr>
        <w:t>]</w:t>
      </w:r>
      <w:r>
        <w:rPr>
          <w:rFonts w:hint="eastAsia" w:asciiTheme="minorEastAsia" w:hAnsiTheme="minorEastAsia" w:eastAsiaTheme="minorEastAsia" w:cstheme="minorEastAsia"/>
          <w:lang w:val="en-US" w:eastAsia="zh-CN"/>
        </w:rPr>
        <w:t>1-05 特斯拉 AP （autopilot）和FSD（Full Self-Drive）https://zhuanlan.zhihu.com/p/1914759237948661804</w:t>
      </w:r>
      <w:bookmarkStart w:id="0" w:name="_GoBack"/>
      <w:bookmarkEnd w:id="0"/>
    </w:p>
    <w:p w14:paraId="65F859AE">
      <w:pPr>
        <w:rPr>
          <w:rFonts w:hint="eastAsia" w:asciiTheme="minorEastAsia" w:hAnsiTheme="minorEastAsia" w:eastAsiaTheme="minorEastAsia" w:cstheme="minor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081AA22"/>
    <w:multiLevelType w:val="singleLevel"/>
    <w:tmpl w:val="D081AA22"/>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B8622E"/>
    <w:rsid w:val="33A53EC8"/>
    <w:rsid w:val="3A7A3A54"/>
    <w:rsid w:val="4CB8622E"/>
    <w:rsid w:val="5F536C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0">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6">
    <w:name w:val="caption"/>
    <w:basedOn w:val="1"/>
    <w:next w:val="1"/>
    <w:semiHidden/>
    <w:unhideWhenUsed/>
    <w:qFormat/>
    <w:uiPriority w:val="0"/>
    <w:rPr>
      <w:rFonts w:ascii="Arial" w:hAnsi="Arial" w:eastAsia="黑体"/>
      <w:sz w:val="20"/>
    </w:rPr>
  </w:style>
  <w:style w:type="paragraph" w:styleId="7">
    <w:name w:val="Normal (Web)"/>
    <w:basedOn w:val="1"/>
    <w:uiPriority w:val="0"/>
    <w:rPr>
      <w:sz w:val="24"/>
    </w:rPr>
  </w:style>
  <w:style w:type="table" w:styleId="9">
    <w:name w:val="Table Grid"/>
    <w:basedOn w:val="8"/>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Emphasis"/>
    <w:basedOn w:val="10"/>
    <w:qFormat/>
    <w:uiPriority w:val="0"/>
    <w:rPr>
      <w:i/>
    </w:rPr>
  </w:style>
  <w:style w:type="character" w:styleId="13">
    <w:name w:val="Hyperlink"/>
    <w:basedOn w:val="10"/>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2483</Words>
  <Characters>3324</Characters>
  <Lines>0</Lines>
  <Paragraphs>0</Paragraphs>
  <TotalTime>4</TotalTime>
  <ScaleCrop>false</ScaleCrop>
  <LinksUpToDate>false</LinksUpToDate>
  <CharactersWithSpaces>3371</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2025-06-06T12:15:00Z</dcterms:created>
  <dc:creator>胡buff.</dc:creator>
  <cp:lastModifiedBy>胡buff.</cp:lastModifiedBy>
  <dcterms:modified xsi:type="dcterms:W3CDTF">2025-06-08T14:10:22Z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FF674E3421384F3A9FA09E277050684C_11</vt:lpwstr>
  </property>
  <property fmtid="{D5CDD505-2E9C-101B-9397-08002B2CF9AE}" pid="4" name="KSOTemplateDocerSaveRecord">
    <vt:lpwstr>eyJoZGlkIjoiOWExNDdiMTk2MGU5OWMyYWM0M2EzOTFmNzEwZDI0YmUiLCJ1c2VySWQiOiI2MjQ5Mjc1MDgifQ==</vt:lpwstr>
  </property>
</Properties>
</file>