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128"/>
          <w:szCs w:val="128"/>
        </w:rPr>
        <w:t xml:space="preserve">UIX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uix.cx</w:t>
      </w:r>
    </w:p>
    <w:p>
      <w:pPr>
        <w:pBdr>
          <w:bottom w:val="single" w:color="1D3557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pacing w:val="40"/>
          <w:sz w:val="26"/>
          <w:szCs w:val="26"/>
        </w:rPr>
        <w:t xml:space="preserve">BUSINESS PLAN  ·  PERSONAL ROADMAP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Year 1 Execution Plan  ·  Revenue Model  ·  Financial Projections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March 2026  ·  Dennis Wang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36"/>
                <w:szCs w:val="36"/>
              </w:rPr>
              <w:t xml:space="preserve">$23/mo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Operating Cost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DO stack at launch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36"/>
                <w:szCs w:val="36"/>
              </w:rPr>
              <w:t xml:space="preserve">M6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Break-Even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~$575 revenue/mo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36"/>
                <w:szCs w:val="36"/>
              </w:rPr>
              <w:t xml:space="preserve">$3,465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Year 1 Revenue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Conservative model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36"/>
                <w:szCs w:val="36"/>
              </w:rPr>
              <w:t xml:space="preserve">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Revenue Streams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Affiliates, ads, templates</w:t>
            </w:r>
          </w:p>
        </w:tc>
      </w:tr>
    </w:tbl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SECTION 01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48"/>
          <w:szCs w:val="48"/>
        </w:rPr>
        <w:t xml:space="preserve">The Opportunity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UIX enters a market where inspiration and commerce have never successfully coexisted. The design gallery category is worth billions in adjacent template and tool spend — none of it is being captured by the galleries themselves. UIX is built to change that.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Market Context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Framer creator economy alone generates significant volume: top individual creators earn $20K–$35K/month from template sales. The Framer platform reached a $2B valuation in 2024. Design inspiration platforms collectively serve tens of millions of monthly visitors — all monetized at near-zero per visitor.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UIX's position is the gap between these two worlds: a platform with the curatorial credibility of a premium gallery and the commercial infrastructure of a template store. No competitor currently occupies this position.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The UIX Advantage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WHAT UIX HAS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WHAT COMPETITORS LACK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THE RESULT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Bauhaus Fusion editorial identity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All galleries curate broadly — no aesthetic conviction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 defensible curatorial position that cannot be easily copied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Blueprint Mode — structural overlay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 platform exposes the design logic beneath the surface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Unique educational feature with zero competition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Playable UI — interactive flows as exhibits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All galleries show screenshots or video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First-mover in interactive gallery format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Native affiliate + advertorial commerce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Galleries earn zero from template sales they inspire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Gallery becomes a revenue engine, not just traffic</w:t>
            </w:r>
          </w:p>
        </w:tc>
      </w:tr>
    </w:tbl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SECTION 02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48"/>
          <w:szCs w:val="48"/>
        </w:rPr>
        <w:t xml:space="preserve">Revenue Model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Three revenue streams, each native to the gallery experience. No advertising banners. No subscription paywalls. Commerce embedded in curation.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Stream 1 — Framer Template Affiliates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1D355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20"/>
                <w:sz w:val="19"/>
                <w:szCs w:val="19"/>
              </w:rPr>
              <w:t xml:space="preserve">MECHANICS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UIX showcases premium Framer templates within the gallery. Each gallery card links to the template's Framer Marketplace page via an affiliate tracking link. When a visitor purchases, UIX earns a commission. No inventory, no delivery, no support — pure referral revenue.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Avg template price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$59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Mid-range Framer templates market average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Commission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Standard affiliate rate on Framer creator programs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Revenue per sale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~$11.80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$59 × 20%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Target Y1 peak (M12)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50 sales/mo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Conservative — top galleries drive 200+ referrals/mo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Y1 peak monthly revenue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20"/>
                <w:szCs w:val="20"/>
              </w:rPr>
              <w:t xml:space="preserve">$590/mo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50 sales × $11.80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Stream 2 — Native Advertorials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1D355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20"/>
                <w:sz w:val="19"/>
                <w:szCs w:val="19"/>
              </w:rPr>
              <w:t xml:space="preserve">MECHANICS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A 'Featured Tool' slot within the UIX gallery grid. Designed to match the Bauhaus Fusion layout exactly — it reads as editorial content, not an ad. Charged as a flat monthly sponsorship to design tool companies, SaaS products, and developer services. The editorial standard remains non-negotiable: if it breaks the grid or visual system, it does not run.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Price per slot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$200/mo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Entry-level sponsorship for niche design audiences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Available slots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3 max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Scarcity preserves editorial integrity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First slot filled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Requires established audience and gallery credibility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Y1 peak monthly revenue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20"/>
                <w:szCs w:val="20"/>
              </w:rPr>
              <w:t xml:space="preserve">$600/mo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3 slots × $200 — M12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Stream 3 — Own Premium Templates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1D355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20"/>
                <w:sz w:val="19"/>
                <w:szCs w:val="19"/>
              </w:rPr>
              <w:t xml:space="preserve">MECHANICS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UIX-designed Framer and Next.js templates, sold directly through Gumroad or Framer Marketplace. Higher margin than affiliates. Each template is itself a Playable UI exhibit in the gallery — the showcase IS the sales page. Price point: $79–$149 for premium architectural templates.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Avg template price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$79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Mid-tier premium template — Bauhaus Fusion positioning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Platform fee (Gumroad)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Gumroad standard rate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Net per sale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$71.10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$79 × 90%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First template launched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Month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After gallery has initial audience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Y1 peak monthly revenue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20"/>
                <w:szCs w:val="20"/>
              </w:rPr>
              <w:t xml:space="preserve">$237/mo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3 templates × 1 sale/mo avg</w:t>
            </w:r>
          </w:p>
        </w:tc>
      </w:tr>
    </w:tbl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SECTION 03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48"/>
          <w:szCs w:val="48"/>
        </w:rPr>
        <w:t xml:space="preserve">Year 1 Financial Model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Monthly revenue breakdown across all three streams, against a fixed operating cost of $24/month. Conservative assumptions throughout — these numbers are achievable, not aspirational.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Monthly Projection — April 2026 to March 2027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MONTH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AFFILIATES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ADVERTORIAL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TEMPLATES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TOTAL REV.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COSTS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NET PROFIT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M1 — Apr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$59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$59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+$35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M2 — May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$59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$59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+$35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M3 — Jun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$118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$118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+$94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M4 — Jul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$177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$177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+$153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M5 — Aug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$177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$79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$256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+$232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19"/>
                <w:szCs w:val="19"/>
              </w:rPr>
              <w:t xml:space="preserve">M6 — Sep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$295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$79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$574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+$550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M7 — Oct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$354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$79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$633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+$609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M8 — Nov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$413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$79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$692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+$668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M9 — Dec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$472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$158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$1030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+$1006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M10 — Jan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$531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$158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$1089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+$1065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M11 — Feb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$531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$237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$1168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+$1144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M12 — Mar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$590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$600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$237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$1427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$24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+$1403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YEAR 1 TOTAL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$2,776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$1,106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19"/>
                <w:szCs w:val="19"/>
              </w:rPr>
              <w:t xml:space="preserve">$5,882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$288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19"/>
                <w:szCs w:val="19"/>
              </w:rPr>
              <w:t xml:space="preserve">+$5,594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2A7A4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pacing w:val="20"/>
                <w:sz w:val="19"/>
                <w:szCs w:val="19"/>
              </w:rPr>
              <w:t xml:space="preserve">BREAK-EVEN: MONTH 6 (SEPTEMBER 2026)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Total monthly revenue crosses the $24 operating cost threshold in Month 3 (affiliates alone cover costs). The $24/month DO stack means UIX is structurally profitable from nearly day one. The Month 6 marker represents the first month all three streams are active simultaneously.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3-Year Revenue Trajectory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YEAR 1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YEAR 2 (EST.)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YEAR 3 (EST.)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Affiliates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$2,776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$8,400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Advertorials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$2,000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$5,400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$10,800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Own Templates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$1,106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$4,260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$12,780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$5,882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$18,060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$41,580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Operating Costs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$288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$360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$480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NET PROFIT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20"/>
                <w:szCs w:val="20"/>
              </w:rPr>
              <w:t xml:space="preserve">$5,594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20"/>
                <w:szCs w:val="20"/>
              </w:rPr>
              <w:t xml:space="preserve">$17,700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z w:val="20"/>
                <w:szCs w:val="20"/>
              </w:rPr>
              <w:t xml:space="preserve">$41,100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Year 2 assumes 3× affiliate volume growth (gallery SEO compounds), advertorial slots fully sold, and 5 own templates in catalogue. Year 3 assumes premium template pricing ($129 avg) and a waiting list for advertorial slots.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SECTION 04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48"/>
          <w:szCs w:val="48"/>
        </w:rPr>
        <w:t xml:space="preserve">Cost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UIX is built to be structurally lean. The total operating cost at launch is $24/month. This is a deliberate constraint — every additional cost must be justified by a direct revenue impact.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Fixed Monthly Costs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80"/>
        <w:gridCol w:w="268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PURPOSE</w:t>
            </w:r>
          </w:p>
        </w:tc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COST/MO</w:t>
            </w:r>
          </w:p>
        </w:tc>
        <w:tc>
          <w:tcPr>
            <w:tcW w:type="dxa" w:w="26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DO App Platform (Basic)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Frontend hosting + auto-deploy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$12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Scales to $25 when traffic grows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DO Spaces + CDN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Media assets, gallery images, flow videos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$5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250GB included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DO Droplet (1GB)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Self-hosted n8n automation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$6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Saves $20/mo vs n8n Cloud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Sanity CMS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Headless CMS for gallery content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$0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Free tier — 2 users, unlimited content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Domain (annualized)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uix.cx already owned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~$1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Renewal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$24/mo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$288/year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Variable / One-Time Costs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1800"/>
        <w:gridCol w:w="240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ITEM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WHEN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EST. COST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Next.js development (self-build via Cowork)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Phase 3–4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Built with Cowork — no developer 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Framer affiliate program setup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Free to apply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First template design + production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Time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Dennis designs — no external 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Gumroad account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Month 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10% per sale only — no monthly fee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DO migration from legacy Droplet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Same account, new App Platform app</w:t>
            </w:r>
          </w:p>
        </w:tc>
      </w:tr>
    </w:tbl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SECTION 05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48"/>
          <w:szCs w:val="48"/>
        </w:rPr>
        <w:t xml:space="preserve">Execution Roadmap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Phase-by-phase milestones from today to first revenue. Each phase has a clear deliverable, a clear owner (you or Cowork), and a clear success condition.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560"/>
        <w:gridCol w:w="2200"/>
        <w:gridCol w:w="2200"/>
      </w:tblGrid>
      <w:tr>
        <w:trPr>
          <w:tblHeader/>
        </w:trPr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TIMELINE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SUCCESS CONDITION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Competitor research + niche opportunities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Cowork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7 niche opportunities documented 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Design system — color, type, grid, tokens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Cowork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CSS token sheet + brand doc 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Apr 2026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Component specs: Gallery Card, Blueprint Toggle, Playable UI embed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Cowork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3 component specs documented + ready for build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Apr–May 2026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Next.js scaffold + DO App Platform deploy + Sanity CMS setup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Cowork + Dennis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uix.cx live on new stack, Sanity connected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May 2026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 5 gallery entries live with Blueprint Mode + affiliate links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Dennis + Cowork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 affiliate click tracked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May–Jun 2026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n8n automation: content sync, affiliate link pipeline, scheduled gallery updates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Cowork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Gallery updates without manual code changes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Jun 2026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 own template launched + listed on Gumroad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Dennis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 direct template sale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P8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Jul–Sep 2026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 advertorial slot sold + live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Dennis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$200 advertorial revenue in M6</w:t>
            </w:r>
          </w:p>
        </w:tc>
      </w:tr>
    </w:tbl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SECTION 06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48"/>
          <w:szCs w:val="48"/>
        </w:rPr>
        <w:t xml:space="preserve">Growth Levers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Year 1 model is conservative by design. These are the specific actions that unlock non-linear growth from Year 2 onwards.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Lever 1 — SEO Compounding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Every gallery entry, Blueprint Mode case study, and template review page is an SEO asset. Design galleries attract high-intent search traffic: 'best onboarding flow examples', 'Framer templates for SaaS', 'Bauhaus web design inspiration'. UIX's structured metadata and Sanity CMS are built for this. A 20-entry gallery can realistically generate 5,000–15,000 monthly organic visits within 12 months of consistent publishing.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Lever 2 — Template Catalogue Depth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Each additional own template added to the catalogue generates compounding passive revenue. The Playable UI embed means each template's interactive demo runs inside UIX — visitors experience it before they buy it. This removes the primary friction in template purchasing. Target: 10 own templates by end of Year 2, each averaging 2 sales/month = $1,580/mo from templates alone.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Lever 3 — Advertorial Rate Escalation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$200/slot starting price is a market-entry rate. As UIX builds audience and domain authority, advertorial slots become premium inventory. Comparable niche design newsletters charge $500–$1,500 per sponsored slot. UIX has a structural advantage: the visual quality of the sponsorship placement is part of the brand — sponsors pay a premium because appearing in UIX signals quality. Year 3 target: $500/slot × 3 slots = $1,500/month from advertorials alone.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Lever 4 — n8n Automation Efficiency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self-hosted n8n layer means UIX can scale content volume without scaling time investment. Automated gallery entry creation from RSS/API feeds, automated affiliate link management, automated SEO metadata generation, and scheduled social distribution all run on the $6/month Droplet. This is the structural moat: UIX operates at a fraction of the editorial overhead of any comparable platform.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0"/>
          <w:szCs w:val="30"/>
        </w:rPr>
        <w:t xml:space="preserve">Lever 5 — Framer Creator Partnerships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Rather than only showcasing external templates, UIX can invite top Framer creators to be 'featured architects' — their templates live permanently in the gallery as curated exhibits. UIX earns ongoing affiliate revenue; creators get a prestigious editorial placement they cannot buy on Framer's own marketplace. This transforms UIX from a passive gallery into a distribution channel with network effects.</w:t>
      </w:r>
    </w:p>
    <w:p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SECTION 07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48"/>
          <w:szCs w:val="48"/>
        </w:rPr>
        <w:t xml:space="preserve">Risks &amp; Mitigations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RISK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LIKELIHOOD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Framer changes affiliate program terms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Primary revenue stream reduced or eliminated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Diversify: Webflow, Gumroad direct, own templates reduce dependence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Traffic growth slower than projected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Affiliate and advertorial revenue delayed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Operating cost is $24/mo — extended runway with zero financial pressure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A well-funded competitor copies Blueprint Mode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Reduces feature differentiation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20"/>
                <w:szCs w:val="20"/>
              </w:rPr>
              <w:t xml:space="preserve">Low (12–18 mo window)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First-mover + editorial identity are harder to copy than features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Advertorial slots hard to sell initially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Stream 2 delayed beyond Month 6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Model remains profitable on affiliates alone from M3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0"/>
                <w:szCs w:val="20"/>
              </w:rPr>
              <w:t xml:space="preserve">Time investment exceeds capacity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Gallery content falls below critical mass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n8n automation + Cowork reduce manual effort to ~2hrs/week at scale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D3557" w:sz="6"/>
        </w:pBdr>
        <w:spacing w:after="0" w:before="20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1D355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20"/>
                <w:sz w:val="19"/>
                <w:szCs w:val="19"/>
              </w:rPr>
              <w:t xml:space="preserve">BOTTOM LINE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UIX is structurally de-risked. The $24/month operating cost means there is no financial pressure during the build phase. Break-even in Month 3 on affiliates alone. Full three-stream revenue by Month 6. A Year 1 net profit of $5,594 on $288 in costs represents a 19× return on operating spend. The ceiling is not constrained by capital — it is constrained by gallery content quality and audience growth, both of which Cowork and automation directly accelerate.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18"/>
          <w:szCs w:val="18"/>
        </w:rPr>
        <w:t xml:space="preserve">UIX  ·  uix.cx  ·  Business Plan v1.0  ·  March 2026</w:t>
      </w:r>
    </w:p>
    <w:p>
      <w:pPr>
        <w:spacing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18"/>
          <w:szCs w:val="18"/>
        </w:rPr>
        <w:t xml:space="preserve">Prepared by Dennis Wang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tabs>
        <w:tab w:val="right" w:pos="9360"/>
      </w:tabs>
      <w:spacing w:before="160"/>
    </w:pP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7"/>
        <w:szCs w:val="17"/>
      </w:rPr>
      <w:t xml:space="preserve">Confidential — Dennis Wang  ·  UIX / uix.cx</w:t>
    </w: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7"/>
        <w:szCs w:val="17"/>
      </w:rPr>
      <w:t xml:space="preserve">Page </w:t>
    </w:r>
    <w:r>
      <w:rPr>
        <w:rFonts w:ascii="Arial" w:cs="Arial" w:eastAsia="Arial" w:hAnsi="Arial"/>
        <w:color w:val="BBBBB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3557" w:sz="4" w:space="8"/>
      </w:pBdr>
      <w:tabs>
        <w:tab w:val="right" w:pos="9360"/>
      </w:tabs>
      <w:spacing w:after="160"/>
    </w:pPr>
    <w:r>
      <w:rPr>
        <w:rFonts w:ascii="Arial" w:cs="Arial" w:eastAsia="Arial" w:hAnsi="Arial"/>
        <w:b/>
        <w:bCs/>
        <w:i w:val="false"/>
        <w:iCs w:val="false"/>
        <w:color w:val="1D3557"/>
        <w:sz w:val="18"/>
        <w:szCs w:val="18"/>
      </w:rPr>
      <w:t xml:space="preserve">UIX Business Plan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  ·  Personal Roadmap  ·  Year 1</w:t>
    </w: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60"/>
      </w:pPr>
      <w:rPr>
        <w:rFonts w:ascii="Arial" w:cs="Arial" w:eastAsia="Arial" w:hAnsi="Arial"/>
        <w:color w:val="D62828"/>
      </w:rPr>
    </w:lvl>
    <w:lvl w:ilvl="1" w15:tentative="1">
      <w:start w:val="1"/>
      <w:numFmt w:val="bullet"/>
      <w:lvlText w:val="·"/>
      <w:lvlJc w:val="left"/>
      <w:pPr>
        <w:ind w:left="960" w:hanging="360"/>
      </w:pPr>
      <w:rPr>
        <w:rFonts w:ascii="Arial" w:cs="Arial" w:eastAsia="Arial" w:hAnsi="Arial"/>
        <w:color w:val="88888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60"/>
      <w:outlineLvl w:val="0"/>
    </w:pPr>
    <w:rPr>
      <w:rFonts w:ascii="Arial" w:cs="Arial" w:eastAsia="Arial" w:hAnsi="Arial"/>
      <w:b/>
      <w:bCs/>
      <w:color w:val="0A0A0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A0A0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2026-03-27T03:17:25.709Z</dcterms:created>
  <dcterms:modified xsi:type="dcterms:W3CDTF">2026-03-27T03:17:25.752Z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