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0A0A0A"/>
          <w:sz w:val="80"/>
          <w:szCs w:val="80"/>
        </w:rPr>
        <w:t xml:space="preserve">UIX</w:t>
      </w:r>
    </w:p>
    <w:p>
      <w:pPr>
        <w:spacing w:after="80" w:before="0"/>
      </w:pPr>
      <w:r>
        <w:rPr>
          <w:rFonts w:ascii="Arial" w:cs="Arial" w:eastAsia="Arial" w:hAnsi="Arial"/>
          <w:color w:val="333333"/>
          <w:sz w:val="36"/>
          <w:szCs w:val="36"/>
        </w:rPr>
        <w:t xml:space="preserve">Phase 3 — Component Specification</w:t>
      </w:r>
    </w:p>
    <w:p>
      <w:pPr>
        <w:spacing w:after="120" w:before="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Version 1.0  ·  </w:t>
      </w: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March 2026  ·  </w:t>
      </w: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Bauhaus Fusion  ·  P3</w:t>
      </w:r>
    </w:p>
    <w:p>
      <w:pPr>
        <w:pBdr>
          <w:left w:val="single" w:color="3D7EF5" w:sz="8" w:space="8"/>
        </w:pBdr>
        <w:spacing w:after="240" w:before="80"/>
        <w:ind w:left="200"/>
      </w:pPr>
      <w:r>
        <w:rPr>
          <w:rFonts w:ascii="Courier New" w:cs="Courier New" w:eastAsia="Courier New" w:hAnsi="Courier New"/>
          <w:b/>
          <w:bCs/>
          <w:color w:val="3D7EF5"/>
          <w:sz w:val="22"/>
          <w:szCs w:val="22"/>
        </w:rPr>
        <w:t xml:space="preserve">GalleryCard  ·  BlueprintToggle  ·  PlayableEmbed</w:t>
      </w:r>
    </w:p>
    <w:p>
      <w:pPr>
        <w:pBdr>
          <w:bottom w:val="single" w:color="DDDDDD" w:sz="3" w:space="1"/>
        </w:pBdr>
        <w:spacing w:after="16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Overview</w:t>
      </w:r>
    </w:p>
    <w:p>
      <w:pPr>
        <w:spacing w:after="12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Phase 3 delivers the three primary interactive components of the UIX design system. These components form the structural foundation of every gallery page — from browsing entries to activating Blueprint Mode to playing interactive flows.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D7EF5"/>
                <w:sz w:val="20"/>
                <w:szCs w:val="20"/>
              </w:rPr>
              <w:t xml:space="preserve">GalleryCard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gallery unit. Displays a design entry with thumbnail, metadata, affiliate CTA, and Blueprint annotations.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components/GalleryCard.tsx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D7EF5"/>
                <w:sz w:val="20"/>
                <w:szCs w:val="20"/>
              </w:rPr>
              <w:t xml:space="preserve">BlueprintToggle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Global mode toggle. Adds/removes data-mode="blueprint" on &lt;html&gt; — all child components respond via CSS.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components/BlueprintToggle.tsx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D7EF5"/>
                <w:sz w:val="20"/>
                <w:szCs w:val="20"/>
              </w:rPr>
              <w:t xml:space="preserve">PlayableEmbed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Interactive flow embed. Renders a Framer or Figma prototype iframe with device chrome, fullscreen, and Blueprint grid overlay.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components/PlayableEmbed.tsx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Design System Integration</w:t>
      </w:r>
    </w:p>
    <w:p>
      <w:pPr>
        <w:spacing w:after="12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three components consume tokens from styles/tokens.css and respond to the [data-mode="blueprint"] attribute set on document.documentElement. No component manages its own theming — all visual behavior is driven by CSS custom properties.</w:t>
      </w:r>
    </w:p>
    <w:p>
      <w:pPr>
        <w:spacing w:after="80" w:before="0"/>
      </w:pPr>
      <w:r>
        <w:t xml:space="preserve"/>
      </w:r>
    </w:p>
    <w:p>
      <w:pPr>
        <w:pBdr>
          <w:left w:val="single" w:color="3D7EF5" w:sz="4"/>
        </w:pBdr>
        <w:shd w:fill="EAF0FF" w:val="clear"/>
        <w:spacing w:after="80" w:before="80"/>
        <w:ind w:left="160"/>
      </w:pPr>
      <w:r>
        <w:rPr>
          <w:rFonts w:ascii="Courier New" w:cs="Courier New" w:eastAsia="Courier New" w:hAnsi="Courier New"/>
          <w:color w:val="3D7EF5"/>
          <w:sz w:val="18"/>
          <w:szCs w:val="18"/>
        </w:rPr>
        <w:t xml:space="preserve">// blueprint  </w:t>
      </w:r>
      <w:r>
        <w:rPr>
          <w:rFonts w:ascii="Courier New" w:cs="Courier New" w:eastAsia="Courier New" w:hAnsi="Courier New"/>
          <w:color w:val="5588CC"/>
          <w:sz w:val="18"/>
          <w:szCs w:val="18"/>
        </w:rPr>
        <w:t xml:space="preserve">Toggle pattern: root.setAttribute("data-mode", "blueprint") — one attribute, entire UI shifts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 Group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Components That Use It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7EF5"/>
                <w:sz w:val="18"/>
                <w:szCs w:val="18"/>
              </w:rPr>
              <w:t xml:space="preserve">--color-surface / elevated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GalleryCard, PlayableEmbed — card and header backgrounds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7EF5"/>
                <w:sz w:val="18"/>
                <w:szCs w:val="18"/>
              </w:rPr>
              <w:t xml:space="preserve">--color-blueprint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three — annotations, borders, active states in Blueprint Mode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7EF5"/>
                <w:sz w:val="18"/>
                <w:szCs w:val="18"/>
              </w:rPr>
              <w:t xml:space="preserve">--color-accent (#FFFFFF)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GalleryCard CTA, PlayableEmbed activate button, BlueprintToggle border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7EF5"/>
                <w:sz w:val="18"/>
                <w:szCs w:val="18"/>
              </w:rPr>
              <w:t xml:space="preserve">--font-mono (JetBrains)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Blueprint annotations, source badges, tags, monospace labels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7EF5"/>
                <w:sz w:val="18"/>
                <w:szCs w:val="18"/>
              </w:rPr>
              <w:t xml:space="preserve">--font-display (Space Grotesk)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GalleryCard title (h4 weight)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7EF5"/>
                <w:sz w:val="18"/>
                <w:szCs w:val="18"/>
              </w:rPr>
              <w:t xml:space="preserve">--space-3 / --space-4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 padding, body gaps, footer spacing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7EF5"/>
                <w:sz w:val="18"/>
                <w:szCs w:val="18"/>
              </w:rPr>
              <w:t xml:space="preserve">--transition-base / blueprint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hover states and Blueprint Mode transitions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7EF5"/>
                <w:sz w:val="18"/>
                <w:szCs w:val="18"/>
              </w:rPr>
              <w:t xml:space="preserve">--z-overlay / modal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PlayableEmbed fullscreen z-index layering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Component 1 — GalleryCard</w:t>
      </w:r>
    </w:p>
    <w:p>
      <w:pPr>
        <w:pBdr>
          <w:left w:val="single" w:color="3D7EF5" w:sz="6" w:space="8"/>
        </w:pBdr>
        <w:spacing w:after="160" w:before="0"/>
        <w:ind w:left="200"/>
      </w:pPr>
      <w:r>
        <w:rPr>
          <w:rFonts w:ascii="Courier New" w:cs="Courier New" w:eastAsia="Courier New" w:hAnsi="Courier New"/>
          <w:color w:val="888888"/>
          <w:sz w:val="22"/>
          <w:szCs w:val="22"/>
        </w:rPr>
        <w:t xml:space="preserve">GalleryCard.tsx  ·  GalleryCard.module.css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Purpose</w:t>
      </w:r>
    </w:p>
    <w:p>
      <w:pPr>
        <w:spacing w:after="12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primary unit of the UIX gallery. Displays one design entry — thumbnail, source badge, title, editorial description, tags, and affiliate CTA. Embeds Blueprint Mode structural annotations as aria-hidden spans so the visual overlay activates without additional JavaScript state.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Props Interface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900"/>
        <w:gridCol w:w="5060"/>
      </w:tblGrid>
      <w:tr>
        <w:trPr>
          <w:tblHeader/>
        </w:trP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Req.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7EF5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3333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8000"/>
                <w:sz w:val="18"/>
                <w:szCs w:val="18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Sanity _id — unique gallery entry identifier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7EF5"/>
                <w:sz w:val="18"/>
                <w:szCs w:val="18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3333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8000"/>
                <w:sz w:val="18"/>
                <w:szCs w:val="18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Gallery title — max 8 words, architectural voice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7EF5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3333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8000"/>
                <w:sz w:val="18"/>
                <w:szCs w:val="18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Editorial description — 2–3 sentences in UIX voice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7EF5"/>
                <w:sz w:val="18"/>
                <w:szCs w:val="18"/>
              </w:rPr>
              <w:t xml:space="preserve">tags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3333"/>
                <w:sz w:val="18"/>
                <w:szCs w:val="18"/>
              </w:rPr>
              <w:t xml:space="preserve">string[]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8000"/>
                <w:sz w:val="18"/>
                <w:szCs w:val="18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Tag array — 3–5 items, e.g. ['SaaS', 'Onboarding']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7EF5"/>
                <w:sz w:val="18"/>
                <w:szCs w:val="18"/>
              </w:rPr>
              <w:t xml:space="preserve">affiliateUrl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3333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8000"/>
                <w:sz w:val="18"/>
                <w:szCs w:val="18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Direct affiliate or tracked URL for the CTA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7EF5"/>
                <w:sz w:val="18"/>
                <w:szCs w:val="18"/>
              </w:rPr>
              <w:t xml:space="preserve">thumbnailUrl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3333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8000"/>
                <w:sz w:val="18"/>
                <w:szCs w:val="18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Thumbnail image URL (Digital Ocean Spaces CDN)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7EF5"/>
                <w:sz w:val="18"/>
                <w:szCs w:val="18"/>
              </w:rPr>
              <w:t xml:space="preserve">blueprintNote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3333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8000"/>
                <w:sz w:val="18"/>
                <w:szCs w:val="18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Blueprint Mode annotation — 1 sentence on structural logic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7EF5"/>
                <w:sz w:val="18"/>
                <w:szCs w:val="18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3333"/>
                <w:sz w:val="18"/>
                <w:szCs w:val="18"/>
              </w:rPr>
              <w:t xml:space="preserve">GallerySource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8000"/>
                <w:sz w:val="18"/>
                <w:szCs w:val="18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Origin platform: Framer | Webflow | Awwwards | Siteinspire | Godly | UIX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7EF5"/>
                <w:sz w:val="18"/>
                <w:szCs w:val="18"/>
              </w:rPr>
              <w:t xml:space="preserve">affiliatePrice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3333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Display price, e.g. "$59" or "Free" — shown in CTA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7EF5"/>
                <w:sz w:val="18"/>
                <w:szCs w:val="18"/>
              </w:rPr>
              <w:t xml:space="preserve">isPlayable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Shows Playable badge if true — default false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7EF5"/>
                <w:sz w:val="18"/>
                <w:szCs w:val="18"/>
              </w:rPr>
              <w:t xml:space="preserve">slug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3333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Internal slug — renders "View" link to /gallery/[slug]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7EF5"/>
                <w:sz w:val="18"/>
                <w:szCs w:val="18"/>
              </w:rPr>
              <w:t xml:space="preserve">onClick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3333"/>
                <w:sz w:val="18"/>
                <w:szCs w:val="18"/>
              </w:rPr>
              <w:t xml:space="preserve">() =&gt; void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Optional card-level click handler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States &amp;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 / Mode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D7EF5"/>
                <w:sz w:val="20"/>
                <w:szCs w:val="20"/>
              </w:rPr>
              <w:t xml:space="preserve">Gallery Mode (default)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Dark surface card with hover elevation (+translateY -2px, scale 1.03 on thumbnail). White accent CTA. Source badge in platform color. All Blueprint annotations hidden (display: none).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D7EF5"/>
                <w:sz w:val="20"/>
                <w:szCs w:val="20"/>
              </w:rPr>
              <w:t xml:space="preserve">Blueprint Mode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 attribute [data-mode="blueprint"] activates: card border turns blueprint blue, thumbnail dims to 18% opacity with crosshatch grid overlay, all aria-hidden annotations become visible, CTA switches to outlined blueprint style, title gets type annotation above.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D7EF5"/>
                <w:sz w:val="20"/>
                <w:szCs w:val="20"/>
              </w:rPr>
              <w:t xml:space="preserve">Hover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Background lifts to --color-elevated, border to --color-divider, thumbnail scales to 1.03, card translateY -2px. Disabled in Blueprint Mode.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D7EF5"/>
                <w:sz w:val="20"/>
                <w:szCs w:val="20"/>
              </w:rPr>
              <w:t xml:space="preserve">With Playable Badge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isPlayable=true renders white-bordered play icon badge (top-right of thumbnail). Turns blueprint blue in Blueprint Mode.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D7EF5"/>
                <w:sz w:val="20"/>
                <w:szCs w:val="20"/>
              </w:rPr>
              <w:t xml:space="preserve">With Slug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Renders a secondary "View" monospace link alongside the CTA for internal page navigation.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Blueprint Mode Annotations</w:t>
      </w:r>
    </w:p>
    <w:p>
      <w:pPr>
        <w:spacing w:after="12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Every structural annotation is rendered as an aria-hidden span. No JavaScript toggles — CSS alone controls visibility. This keeps the component fully accessible in Gallery Mode.</w:t>
      </w:r>
    </w:p>
    <w:p>
      <w:pPr>
        <w:spacing w:after="40" w:before="0"/>
      </w:pPr>
      <w:r>
        <w:t xml:space="preserve"/>
      </w:r>
    </w:p>
    <w:p>
      <w:pPr>
        <w:shd w:fill="F0F4FF" w:val="clear"/>
        <w:spacing w:after="40" w:before="40"/>
        <w:ind w:left="200"/>
      </w:pPr>
      <w:r>
        <w:rPr>
          <w:rFonts w:ascii="Courier New" w:cs="Courier New" w:eastAsia="Courier New" w:hAnsi="Courier New"/>
          <w:color w:val="3D7EF5"/>
          <w:sz w:val="18"/>
          <w:szCs w:val="18"/>
        </w:rPr>
        <w:t xml:space="preserve">// gallery-card      → absolute top-left corner label</w:t>
      </w:r>
    </w:p>
    <w:p>
      <w:pPr>
        <w:shd w:fill="F0F4FF" w:val="clear"/>
        <w:spacing w:after="40" w:before="40"/>
        <w:ind w:left="200"/>
      </w:pPr>
      <w:r>
        <w:rPr>
          <w:rFonts w:ascii="Courier New" w:cs="Courier New" w:eastAsia="Courier New" w:hAnsi="Courier New"/>
          <w:color w:val="3D7EF5"/>
          <w:sz w:val="18"/>
          <w:szCs w:val="18"/>
        </w:rPr>
        <w:t xml:space="preserve">// image             → thumbnail placeholder center</w:t>
      </w:r>
    </w:p>
    <w:p>
      <w:pPr>
        <w:shd w:fill="F0F4FF" w:val="clear"/>
        <w:spacing w:after="40" w:before="40"/>
        <w:ind w:left="200"/>
      </w:pPr>
      <w:r>
        <w:rPr>
          <w:rFonts w:ascii="Courier New" w:cs="Courier New" w:eastAsia="Courier New" w:hAnsi="Courier New"/>
          <w:color w:val="3D7EF5"/>
          <w:sz w:val="18"/>
          <w:szCs w:val="18"/>
        </w:rPr>
        <w:t xml:space="preserve">320px               → thumbnail width annotation (bottom center)</w:t>
      </w:r>
    </w:p>
    <w:p>
      <w:pPr>
        <w:shd w:fill="F0F4FF" w:val="clear"/>
        <w:spacing w:after="40" w:before="40"/>
        <w:ind w:left="200"/>
      </w:pPr>
      <w:r>
        <w:rPr>
          <w:rFonts w:ascii="Courier New" w:cs="Courier New" w:eastAsia="Courier New" w:hAnsi="Courier New"/>
          <w:color w:val="3D7EF5"/>
          <w:sz w:val="18"/>
          <w:szCs w:val="18"/>
        </w:rPr>
        <w:t xml:space="preserve">24px                → horizontal spacing rule between thumb and body</w:t>
      </w:r>
    </w:p>
    <w:p>
      <w:pPr>
        <w:shd w:fill="F0F4FF" w:val="clear"/>
        <w:spacing w:after="40" w:before="40"/>
        <w:ind w:left="200"/>
      </w:pPr>
      <w:r>
        <w:rPr>
          <w:rFonts w:ascii="Courier New" w:cs="Courier New" w:eastAsia="Courier New" w:hAnsi="Courier New"/>
          <w:color w:val="3D7EF5"/>
          <w:sz w:val="18"/>
          <w:szCs w:val="18"/>
        </w:rPr>
        <w:t xml:space="preserve">16px                → vertical spacing after source badge</w:t>
      </w:r>
    </w:p>
    <w:p>
      <w:pPr>
        <w:shd w:fill="F0F4FF" w:val="clear"/>
        <w:spacing w:after="40" w:before="40"/>
        <w:ind w:left="200"/>
      </w:pPr>
      <w:r>
        <w:rPr>
          <w:rFonts w:ascii="Courier New" w:cs="Courier New" w:eastAsia="Courier New" w:hAnsi="Courier New"/>
          <w:color w:val="3D7EF5"/>
          <w:sz w:val="18"/>
          <w:szCs w:val="18"/>
        </w:rPr>
        <w:t xml:space="preserve">22px / 600 / 1.3   → type annotation above the title</w:t>
      </w:r>
    </w:p>
    <w:p>
      <w:pPr>
        <w:shd w:fill="F0F4FF" w:val="clear"/>
        <w:spacing w:after="40" w:before="40"/>
        <w:ind w:left="200"/>
      </w:pPr>
      <w:r>
        <w:rPr>
          <w:rFonts w:ascii="Courier New" w:cs="Courier New" w:eastAsia="Courier New" w:hAnsi="Courier New"/>
          <w:color w:val="3D7EF5"/>
          <w:sz w:val="18"/>
          <w:szCs w:val="18"/>
        </w:rPr>
        <w:t xml:space="preserve">// blueprint        → left-bordered note block in body</w:t>
      </w:r>
    </w:p>
    <w:p>
      <w:pPr>
        <w:shd w:fill="F0F4FF" w:val="clear"/>
        <w:spacing w:after="40" w:before="40"/>
        <w:ind w:left="200"/>
      </w:pPr>
      <w:r>
        <w:rPr>
          <w:rFonts w:ascii="Courier New" w:cs="Courier New" w:eastAsia="Courier New" w:hAnsi="Courier New"/>
          <w:color w:val="3D7EF5"/>
          <w:sz w:val="18"/>
          <w:szCs w:val="18"/>
        </w:rPr>
        <w:t xml:space="preserve">--color-accent · 44px height  → CTA dimensions annotation</w:t>
      </w:r>
    </w:p>
    <w:p>
      <w:pPr>
        <w:spacing w:after="80" w:before="0"/>
      </w:pPr>
      <w:r>
        <w:t xml:space="preserve"/>
      </w:r>
    </w:p>
    <w:p>
      <w:pPr>
        <w:pBdr>
          <w:left w:val="single" w:color="3D7EF5" w:sz="4"/>
        </w:pBdr>
        <w:shd w:fill="EAF0FF" w:val="clear"/>
        <w:spacing w:after="80" w:before="80"/>
        <w:ind w:left="160"/>
      </w:pPr>
      <w:r>
        <w:rPr>
          <w:rFonts w:ascii="Courier New" w:cs="Courier New" w:eastAsia="Courier New" w:hAnsi="Courier New"/>
          <w:color w:val="3D7EF5"/>
          <w:sz w:val="18"/>
          <w:szCs w:val="18"/>
        </w:rPr>
        <w:t xml:space="preserve">// blueprint  </w:t>
      </w:r>
      <w:r>
        <w:rPr>
          <w:rFonts w:ascii="Courier New" w:cs="Courier New" w:eastAsia="Courier New" w:hAnsi="Courier New"/>
          <w:color w:val="5588CC"/>
          <w:sz w:val="18"/>
          <w:szCs w:val="18"/>
        </w:rPr>
        <w:t xml:space="preserve">Blueprint annotations add zero runtime cost. They're static DOM nodes, always present, toggled purely by CSS display property.</w:t>
      </w:r>
    </w:p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Component 2 — BlueprintToggle</w:t>
      </w:r>
    </w:p>
    <w:p>
      <w:pPr>
        <w:pBdr>
          <w:left w:val="single" w:color="3D7EF5" w:sz="6" w:space="8"/>
        </w:pBdr>
        <w:spacing w:after="160" w:before="0"/>
        <w:ind w:left="200"/>
      </w:pPr>
      <w:r>
        <w:rPr>
          <w:rFonts w:ascii="Courier New" w:cs="Courier New" w:eastAsia="Courier New" w:hAnsi="Courier New"/>
          <w:color w:val="888888"/>
          <w:sz w:val="22"/>
          <w:szCs w:val="22"/>
        </w:rPr>
        <w:t xml:space="preserve">BlueprintToggle.tsx  ·  BlueprintToggle.module.css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Purpose</w:t>
      </w:r>
    </w:p>
    <w:p>
      <w:pPr>
        <w:spacing w:after="12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Global mode toggle. A single button that sets or removes data-mode="blueprint" on document.documentElement. Because the toggle works at the root level, every component on the page that has Blueprint Mode CSS responds simultaneously — no prop drilling, no context required.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Props Interface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900"/>
        <w:gridCol w:w="5060"/>
      </w:tblGrid>
      <w:tr>
        <w:trPr>
          <w:tblHeader/>
        </w:trP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Req.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7EF5"/>
                <w:sz w:val="18"/>
                <w:szCs w:val="18"/>
              </w:rPr>
              <w:t xml:space="preserve">isActive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Controlled active state (optional). If omitted, component manages its own internal state.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7EF5"/>
                <w:sz w:val="18"/>
                <w:szCs w:val="18"/>
              </w:rPr>
              <w:t xml:space="preserve">onToggle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3333"/>
                <w:sz w:val="18"/>
                <w:szCs w:val="18"/>
              </w:rPr>
              <w:t xml:space="preserve">(active: boolean) =&gt; void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Callback fired when toggle changes. Use for lifting state to a layout/nav component.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7EF5"/>
                <w:sz w:val="18"/>
                <w:szCs w:val="18"/>
              </w:rPr>
              <w:t xml:space="preserve">compact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Icon-only variant — hides label text. Default false. Use in mobile nav or tight toolbars.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States &amp;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 / Mode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D7EF5"/>
                <w:sz w:val="20"/>
                <w:szCs w:val="20"/>
              </w:rPr>
              <w:t xml:space="preserve">Inactive (Gallery Mode)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Shows Grid icon + "Blueprint" label. Muted border, secondary text color. Clicking activates Blueprint Mode.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D7EF5"/>
                <w:sz w:val="20"/>
                <w:szCs w:val="20"/>
              </w:rPr>
              <w:t xml:space="preserve">Active (Blueprint Mode)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Shows Eye icon + "Gallery" label. Blueprint blue border and text, faint blue background tint. Subtle pulse animation on border.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D7EF5"/>
                <w:sz w:val="20"/>
                <w:szCs w:val="20"/>
              </w:rPr>
              <w:t xml:space="preserve">Compact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Icon only, 36×36px square. No label rendered. Same color states.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D7EF5"/>
                <w:sz w:val="20"/>
                <w:szCs w:val="20"/>
              </w:rPr>
              <w:t xml:space="preserve">Focus-visible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Outline: 2px solid --color-accent, 2px offset. Keyboard accessible — Space/Enter also triggers toggle.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DOM Side Effect</w:t>
      </w:r>
    </w:p>
    <w:p>
      <w:pPr>
        <w:spacing w:after="12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useEffect hook manages the [data-mode="blueprint"] attribute on document.documentElement. It removes the attribute on unmount (cleanup) to prevent stale Blueprint Mode if the component is conditionally rendered.</w:t>
      </w:r>
    </w:p>
    <w:p>
      <w:pPr>
        <w:spacing w:after="40" w:before="0"/>
      </w:pPr>
      <w:r>
        <w:t xml:space="preserve"/>
      </w:r>
    </w:p>
    <w:p>
      <w:pPr>
        <w:shd w:fill="F0F4FF" w:val="clear"/>
        <w:spacing w:after="40" w:before="40"/>
        <w:ind w:left="200"/>
      </w:pPr>
      <w:r>
        <w:rPr>
          <w:rFonts w:ascii="Courier New" w:cs="Courier New" w:eastAsia="Courier New" w:hAnsi="Courier New"/>
          <w:color w:val="3D7EF5"/>
          <w:sz w:val="18"/>
          <w:szCs w:val="18"/>
        </w:rPr>
        <w:t xml:space="preserve">// Activate</w:t>
      </w:r>
    </w:p>
    <w:p>
      <w:pPr>
        <w:shd w:fill="F0F4FF" w:val="clear"/>
        <w:spacing w:after="40" w:before="40"/>
        <w:ind w:left="200"/>
      </w:pPr>
      <w:r>
        <w:rPr>
          <w:rFonts w:ascii="Courier New" w:cs="Courier New" w:eastAsia="Courier New" w:hAnsi="Courier New"/>
          <w:color w:val="3D7EF5"/>
          <w:sz w:val="18"/>
          <w:szCs w:val="18"/>
        </w:rPr>
        <w:t xml:space="preserve">document.documentElement.setAttribute("data-mode", "blueprint")</w:t>
      </w:r>
    </w:p>
    <w:p>
      <w:pPr>
        <w:shd w:fill="F0F4FF" w:val="clear"/>
        <w:spacing w:after="40" w:before="40"/>
        <w:ind w:left="200"/>
      </w:pPr>
      <w:r>
        <w:rPr>
          <w:rFonts w:ascii="Courier New" w:cs="Courier New" w:eastAsia="Courier New" w:hAnsi="Courier New"/>
          <w:color w:val="3D7EF5"/>
          <w:sz w:val="18"/>
          <w:szCs w:val="18"/>
        </w:rPr>
        <w:t xml:space="preserve"/>
      </w:r>
    </w:p>
    <w:p>
      <w:pPr>
        <w:shd w:fill="F0F4FF" w:val="clear"/>
        <w:spacing w:after="40" w:before="40"/>
        <w:ind w:left="200"/>
      </w:pPr>
      <w:r>
        <w:rPr>
          <w:rFonts w:ascii="Courier New" w:cs="Courier New" w:eastAsia="Courier New" w:hAnsi="Courier New"/>
          <w:color w:val="3D7EF5"/>
          <w:sz w:val="18"/>
          <w:szCs w:val="18"/>
        </w:rPr>
        <w:t xml:space="preserve">// Deactivate</w:t>
      </w:r>
    </w:p>
    <w:p>
      <w:pPr>
        <w:shd w:fill="F0F4FF" w:val="clear"/>
        <w:spacing w:after="40" w:before="40"/>
        <w:ind w:left="200"/>
      </w:pPr>
      <w:r>
        <w:rPr>
          <w:rFonts w:ascii="Courier New" w:cs="Courier New" w:eastAsia="Courier New" w:hAnsi="Courier New"/>
          <w:color w:val="3D7EF5"/>
          <w:sz w:val="18"/>
          <w:szCs w:val="18"/>
        </w:rPr>
        <w:t xml:space="preserve">document.documentElement.removeAttribute("data-mode")</w:t>
      </w:r>
    </w:p>
    <w:p>
      <w:pPr>
        <w:spacing w:after="80" w:before="0"/>
      </w:pPr>
      <w:r>
        <w:t xml:space="preserve"/>
      </w:r>
    </w:p>
    <w:p>
      <w:pPr>
        <w:pBdr>
          <w:left w:val="single" w:color="3D7EF5" w:sz="4"/>
        </w:pBdr>
        <w:shd w:fill="EAF0FF" w:val="clear"/>
        <w:spacing w:after="80" w:before="80"/>
        <w:ind w:left="160"/>
      </w:pPr>
      <w:r>
        <w:rPr>
          <w:rFonts w:ascii="Courier New" w:cs="Courier New" w:eastAsia="Courier New" w:hAnsi="Courier New"/>
          <w:color w:val="3D7EF5"/>
          <w:sz w:val="18"/>
          <w:szCs w:val="18"/>
        </w:rPr>
        <w:t xml:space="preserve">// blueprint  </w:t>
      </w:r>
      <w:r>
        <w:rPr>
          <w:rFonts w:ascii="Courier New" w:cs="Courier New" w:eastAsia="Courier New" w:hAnsi="Courier New"/>
          <w:color w:val="5588CC"/>
          <w:sz w:val="18"/>
          <w:szCs w:val="18"/>
        </w:rPr>
        <w:t xml:space="preserve">Single source of truth: the DOM attribute. Any component anywhere on the page can read or respond to it without subscribing to React state.</w:t>
      </w:r>
    </w:p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Component 3 — PlayableEmbed</w:t>
      </w:r>
    </w:p>
    <w:p>
      <w:pPr>
        <w:pBdr>
          <w:left w:val="single" w:color="3D7EF5" w:sz="6" w:space="8"/>
        </w:pBdr>
        <w:spacing w:after="160" w:before="0"/>
        <w:ind w:left="200"/>
      </w:pPr>
      <w:r>
        <w:rPr>
          <w:rFonts w:ascii="Courier New" w:cs="Courier New" w:eastAsia="Courier New" w:hAnsi="Courier New"/>
          <w:color w:val="888888"/>
          <w:sz w:val="22"/>
          <w:szCs w:val="22"/>
        </w:rPr>
        <w:t xml:space="preserve">PlayableEmbed.tsx  ·  PlayableEmbed.module.css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Purpose</w:t>
      </w:r>
    </w:p>
    <w:p>
      <w:pPr>
        <w:spacing w:after="12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Renders an interactive user flow as a live embed on a UIX gallery detail page. Supports Framer and Figma prototype iframes. Three distinct modes: Gallery (polished device chrome), Blueprint (structural grid overlay, iframe dimmed), and Fullscreen (viewport-filling with ESC dismiss).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Props Interface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900"/>
        <w:gridCol w:w="5060"/>
      </w:tblGrid>
      <w:tr>
        <w:trPr>
          <w:tblHeader/>
        </w:trP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Req.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7EF5"/>
                <w:sz w:val="18"/>
                <w:szCs w:val="18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3333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8000"/>
                <w:sz w:val="18"/>
                <w:szCs w:val="18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Flow title — shown in the header bar URL bar area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7EF5"/>
                <w:sz w:val="18"/>
                <w:szCs w:val="18"/>
              </w:rPr>
              <w:t xml:space="preserve">embedUrl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3333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8000"/>
                <w:sz w:val="18"/>
                <w:szCs w:val="18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iframe src URL — Framer embed or Figma prototype link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7EF5"/>
                <w:sz w:val="18"/>
                <w:szCs w:val="18"/>
              </w:rPr>
              <w:t xml:space="preserve">embedType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3333"/>
                <w:sz w:val="18"/>
                <w:szCs w:val="18"/>
              </w:rPr>
              <w:t xml:space="preserve">EmbedType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8000"/>
                <w:sz w:val="18"/>
                <w:szCs w:val="18"/>
              </w:rPr>
              <w:t xml:space="preserve">Yes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"framer" | "figma" — controls platform badge label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7EF5"/>
                <w:sz w:val="18"/>
                <w:szCs w:val="18"/>
              </w:rPr>
              <w:t xml:space="preserve">aspectRatio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3333"/>
                <w:sz w:val="18"/>
                <w:szCs w:val="18"/>
              </w:rPr>
              <w:t xml:space="preserve">AspectRatio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"16/9" | "4/3" | "1/1" | "9/16" — default "16/9"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7EF5"/>
                <w:sz w:val="18"/>
                <w:szCs w:val="18"/>
              </w:rPr>
              <w:t xml:space="preserve">blueprintNote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3333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Blueprint annotation shown over the embed in Blueprint Mode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7EF5"/>
                <w:sz w:val="18"/>
                <w:szCs w:val="18"/>
              </w:rPr>
              <w:t xml:space="preserve">autoLoad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If true: iframe loads immediately. If false (default): shows poster/CTA first for performance.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7EF5"/>
                <w:sz w:val="18"/>
                <w:szCs w:val="18"/>
              </w:rPr>
              <w:t xml:space="preserve">posterUrl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3333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Static thumbnail shown on the poster screen before activation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States &amp;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 / Mode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D7EF5"/>
                <w:sz w:val="20"/>
                <w:szCs w:val="20"/>
              </w:rPr>
              <w:t xml:space="preserve">Poster (pre-load)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Static screen with optional thumbnail (20% opacity) + "Play Flow" CTA button. Prevents unnecessary iframe network requests on page load. autoLoad=true skips this state.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D7EF5"/>
                <w:sz w:val="20"/>
                <w:szCs w:val="20"/>
              </w:rPr>
              <w:t xml:space="preserve">Loading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Iframe renders but is invisible (opacity: 0) while onLoad fires. Three-dot pulse animation indicates loading. Transitions to opacity: 1 when iframeReady state is true.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D7EF5"/>
                <w:sz w:val="20"/>
                <w:szCs w:val="20"/>
              </w:rPr>
              <w:t xml:space="preserve">Loaded (Gallery Mode)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Iframe fully visible at 100% opacity. Device chrome (macOS-style dots) in header. Fullscreen button in controls area.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D7EF5"/>
                <w:sz w:val="20"/>
                <w:szCs w:val="20"/>
              </w:rPr>
              <w:t xml:space="preserve">Loaded (Blueprint Mode)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Iframe dimmed to 15% opacity. 32px crosshatch grid overlaid. blueprintNote shown in bottom-left annotation panel. Header turns blueprint blue.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D7EF5"/>
                <w:sz w:val="20"/>
                <w:szCs w:val="20"/>
              </w:rPr>
              <w:t xml:space="preserve">Fullscreen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position: fixed, inset: 0, z-index: --z-modal. Body scroll locked. ESC key listener attached. ESC hint badge shown at viewport bottom center. Header remains, iframe fills remaining height.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Iframe Security</w:t>
      </w:r>
    </w:p>
    <w:p>
      <w:pPr>
        <w:spacing w:after="12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iframe uses a strict sandbox attribute to prevent cross-site scripting while allowing prototype interaction:</w:t>
      </w:r>
    </w:p>
    <w:p>
      <w:pPr>
        <w:spacing w:after="40" w:before="0"/>
      </w:pPr>
      <w:r>
        <w:t xml:space="preserve"/>
      </w:r>
    </w:p>
    <w:p>
      <w:pPr>
        <w:shd w:fill="F0F4FF" w:val="clear"/>
        <w:spacing w:after="40" w:before="40"/>
        <w:ind w:left="200"/>
      </w:pPr>
      <w:r>
        <w:rPr>
          <w:rFonts w:ascii="Courier New" w:cs="Courier New" w:eastAsia="Courier New" w:hAnsi="Courier New"/>
          <w:color w:val="3D7EF5"/>
          <w:sz w:val="18"/>
          <w:szCs w:val="18"/>
        </w:rPr>
        <w:t xml:space="preserve">sandbox="allow-scripts allow-same-origin allow-forms allow-popups"</w:t>
      </w:r>
    </w:p>
    <w:p>
      <w:pPr>
        <w:spacing w:after="8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permits: JavaScript execution within the prototype, form interactions (useful for interactive flows), and link/popup openings. It blocks: top-level navigation, alert/confirm dialogs, and access to parent window globals.</w:t>
      </w:r>
    </w:p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Phase 3 — File Index</w:t>
      </w:r>
    </w:p>
    <w:p>
      <w:pPr>
        <w:spacing w:after="12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Complete list of all files produced in Phase 3 and their locations in the UIX project structure.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000"/>
        <w:gridCol w:w="3160"/>
      </w:tblGrid>
      <w:tr>
        <w:trPr>
          <w:tblHeader/>
        </w:trP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Path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7EF5"/>
                <w:sz w:val="18"/>
                <w:szCs w:val="18"/>
              </w:rPr>
              <w:t xml:space="preserve">styles/tokens.css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CSS Tokens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 design system custom properties — colors, type scale, spacing, grid, Blueprint Mode overrides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7EF5"/>
                <w:sz w:val="18"/>
                <w:szCs w:val="18"/>
              </w:rPr>
              <w:t xml:space="preserve">components/GalleryCard.tsx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React Component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gallery unit with Blueprint Mode annotation system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7EF5"/>
                <w:sz w:val="18"/>
                <w:szCs w:val="18"/>
              </w:rPr>
              <w:t xml:space="preserve">components/GalleryCard.module.css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CSS Module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visual states for GalleryCard including Blueprint overlays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7EF5"/>
                <w:sz w:val="18"/>
                <w:szCs w:val="18"/>
              </w:rPr>
              <w:t xml:space="preserve">components/BlueprintToggle.tsx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React Component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Global mode toggle — sets data-mode attribute on document root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7EF5"/>
                <w:sz w:val="18"/>
                <w:szCs w:val="18"/>
              </w:rPr>
              <w:t xml:space="preserve">components/BlueprintToggle.module.css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CSS Module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Toggle button styles — active/inactive/compact/focus states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7EF5"/>
                <w:sz w:val="18"/>
                <w:szCs w:val="18"/>
              </w:rPr>
              <w:t xml:space="preserve">components/PlayableEmbed.tsx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React Component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Interactive flow embed with poster, fullscreen, and Blueprint Mode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7EF5"/>
                <w:sz w:val="18"/>
                <w:szCs w:val="18"/>
              </w:rPr>
              <w:t xml:space="preserve">components/PlayableEmbed.module.css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CSS Module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Embed styles — device chrome, grid overlays, fullscreen layout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What's Next — Phase 4</w:t>
      </w:r>
    </w:p>
    <w:p>
      <w:pPr>
        <w:spacing w:after="12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Phase 3 delivers the isolated component layer. Phase 4 is the full Next.js application scaffold — wiring these components into a live, deployable site.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4 Task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Project Scaffold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npx create-next-app@latest uix --typescript --app — clean slate, no extra dependencies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App Router Structure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app/layout.tsx, app/page.tsx, app/gallery/[slug]/page.tsx — minimal route tree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Sanity CMS Setup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schemas for galleryEntry type — title, description, tags, affiliateUrl, blueprintNote, source, isPlayable, ogImage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Nav Component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Minimal UIX wordmark + BlueprintToggle — no hamburger menus, no mega nav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Gallery Grid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12-column CSS grid, responsive breakpoints — desktop 3-col, tablet 2-col, mobile 1-col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Detail Page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GalleryCard data + PlayableEmbed (if isPlayable) + Blueprint Mode active by default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DO App Platform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Configure Next.js build on Digital Ocean App Platform — auto-deploy from GitHub main branch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left w:val="single" w:color="3D7EF5" w:sz="4"/>
        </w:pBdr>
        <w:shd w:fill="EAF0FF" w:val="clear"/>
        <w:spacing w:after="80" w:before="80"/>
        <w:ind w:left="160"/>
      </w:pPr>
      <w:r>
        <w:rPr>
          <w:rFonts w:ascii="Courier New" w:cs="Courier New" w:eastAsia="Courier New" w:hAnsi="Courier New"/>
          <w:color w:val="3D7EF5"/>
          <w:sz w:val="18"/>
          <w:szCs w:val="18"/>
        </w:rPr>
        <w:t xml:space="preserve">// blueprint  </w:t>
      </w:r>
      <w:r>
        <w:rPr>
          <w:rFonts w:ascii="Courier New" w:cs="Courier New" w:eastAsia="Courier New" w:hAnsi="Courier New"/>
          <w:color w:val="5588CC"/>
          <w:sz w:val="18"/>
          <w:szCs w:val="18"/>
        </w:rPr>
        <w:t xml:space="preserve">Phase 4 target: working gallery page in browser within 1 session — App Router scaffold + Sanity schema + 1 seeded entry</w:t>
      </w:r>
    </w:p>
    <w:p>
      <w:pPr>
        <w:spacing w:after="80" w:before="0"/>
      </w:pPr>
      <w:r>
        <w:t xml:space="preserve"/>
      </w:r>
    </w:p>
    <w:p>
      <w:pPr>
        <w:pBdr>
          <w:bottom w:val="single" w:color="DDDDDD" w:sz="3" w:space="1"/>
        </w:pBdr>
        <w:spacing w:after="160" w:before="0"/>
      </w:pPr>
      <w:r>
        <w:t xml:space="preserve"/>
      </w:r>
    </w:p>
    <w:p>
      <w:pPr>
        <w:spacing w:after="40" w:before="0"/>
      </w:pPr>
      <w:r>
        <w:t xml:space="preserve"/>
      </w:r>
    </w:p>
    <w:p>
      <w:pPr>
        <w:jc w:val="center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UIX  //  uix.cx  //  Phase 3 Complete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3" w:space="4"/>
      </w:pBdr>
    </w:pPr>
    <w:r>
      <w:rPr>
        <w:rFonts w:ascii="Courier New" w:cs="Courier New" w:eastAsia="Courier New" w:hAnsi="Courier New"/>
        <w:color w:val="888888"/>
        <w:sz w:val="18"/>
        <w:szCs w:val="18"/>
      </w:rPr>
      <w:t xml:space="preserve">uix.cx  //  Bauhaus Fusion  //  Page </w:t>
    </w:r>
    <w:r>
      <w:rPr>
        <w:rFonts w:ascii="Courier New" w:cs="Courier New" w:eastAsia="Courier New" w:hAnsi="Courier New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3" w:space="4"/>
      </w:pBdr>
    </w:pPr>
    <w:r>
      <w:rPr>
        <w:rFonts w:ascii="Courier New" w:cs="Courier New" w:eastAsia="Courier New" w:hAnsi="Courier New"/>
        <w:color w:val="888888"/>
        <w:sz w:val="18"/>
        <w:szCs w:val="18"/>
      </w:rPr>
      <w:t xml:space="preserve">UIX  //  Phase 3 — Component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A0A0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2222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2026-03-27T03:45:27.171Z</dcterms:created>
  <dcterms:modified xsi:type="dcterms:W3CDTF">2026-03-27T03:45:27.172Z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