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03b6edf46d351c8d961e37250219f535bf2750"/>
    <w:p>
      <w:pPr>
        <w:pStyle w:val="Heading1"/>
      </w:pPr>
      <w:r>
        <w:t xml:space="preserve">Volume I · Chapter 2 — Foundations of Clinical Data (EHR; code sets; privacy)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EHR structure</w:t>
      </w:r>
      <w:r>
        <w:t xml:space="preserve"> </w:t>
      </w:r>
      <w:r>
        <w:t xml:space="preserve">and its core data domains, and distinguish structured vs. unstructured data.</w:t>
      </w:r>
    </w:p>
    <w:p>
      <w:pPr>
        <w:pStyle w:val="Compact"/>
        <w:numPr>
          <w:ilvl w:val="0"/>
          <w:numId w:val="1001"/>
        </w:numPr>
      </w:pPr>
      <w:r>
        <w:t xml:space="preserve">Navigate and</w:t>
      </w:r>
      <w:r>
        <w:t xml:space="preserve"> </w:t>
      </w:r>
      <w:r>
        <w:rPr>
          <w:b/>
          <w:bCs/>
        </w:rPr>
        <w:t xml:space="preserve">map medical code sets</w:t>
      </w:r>
      <w:r>
        <w:t xml:space="preserve"> </w:t>
      </w:r>
      <w:r>
        <w:t xml:space="preserve">— ICD-10-CM/PCS, CPT/HCPCS, SNOMED CT, LOINC — to the right purpose.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data privacy/regulation</w:t>
      </w:r>
      <w:r>
        <w:t xml:space="preserve"> </w:t>
      </w:r>
      <w:r>
        <w:t xml:space="preserve">(HIPAA, GDPR) and what makes clinical data identifiable.</w:t>
      </w:r>
    </w:p>
    <w:p>
      <w:pPr>
        <w:pStyle w:val="Compact"/>
        <w:numPr>
          <w:ilvl w:val="0"/>
          <w:numId w:val="1001"/>
        </w:numPr>
      </w:pPr>
      <w:r>
        <w:t xml:space="preserve">Apply basic</w:t>
      </w:r>
      <w:r>
        <w:t xml:space="preserve"> </w:t>
      </w:r>
      <w:r>
        <w:rPr>
          <w:b/>
          <w:bCs/>
        </w:rPr>
        <w:t xml:space="preserve">de-identification</w:t>
      </w:r>
      <w:r>
        <w:t xml:space="preserve"> </w:t>
      </w:r>
      <w:r>
        <w:t xml:space="preserve">and justify</w:t>
      </w:r>
      <w:r>
        <w:t xml:space="preserve"> </w:t>
      </w:r>
      <w:r>
        <w:rPr>
          <w:b/>
          <w:bCs/>
        </w:rPr>
        <w:t xml:space="preserve">synthetic-data</w:t>
      </w:r>
      <w:r>
        <w:t xml:space="preserve"> </w:t>
      </w:r>
      <w:r>
        <w:t xml:space="preserve">use for development.</w:t>
      </w:r>
    </w:p>
    <w:p>
      <w:pPr>
        <w:pStyle w:val="FirstParagraph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Explore an EHR schema; classify fields into data domains; structured vs. unstructured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Code lookup &amp; mapping: build a small ICD-10 ↔ SNOMED ↔ LOINC crosswalk in Pandas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De-identification: apply HIPAA Safe Harbor (18 identifiers) to a synthetic dataset; verify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EHR; public browsers (ICD-10, SNOMED CT browser, LOINC search); Pandas.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code sets &amp; privacy (</w:t>
      </w:r>
      <w:r>
        <w:rPr>
          <w:b/>
          <w:bCs/>
        </w:rPr>
        <w:t xml:space="preserve">40%</w:t>
      </w:r>
      <w:r>
        <w:t xml:space="preserve">); crosswalk deliverable (</w:t>
      </w:r>
      <w:r>
        <w:rPr>
          <w:b/>
          <w:bCs/>
        </w:rPr>
        <w:t xml:space="preserve">30%</w:t>
      </w:r>
      <w:r>
        <w:t xml:space="preserve">); de-identification lab rubric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which terminology fits which purpose; when data is/ isn't de-identified;</w:t>
      </w:r>
      <w:r>
        <w:t xml:space="preserve"> </w:t>
      </w:r>
      <w:r>
        <w:rPr>
          <w:b/>
          <w:bCs/>
        </w:rPr>
        <w:t xml:space="preserve">synthetic vs. real</w:t>
      </w:r>
      <w:r>
        <w:t xml:space="preserve"> </w:t>
      </w:r>
      <w:r>
        <w:t xml:space="preserve">data for development.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2026-08-02T19:36:30Z</dcterms:created>
  <dcterms:modified xsi:type="dcterms:W3CDTF">2026-08-02T19:36:30Z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