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1b477efb24bbe2fbd04b9d25877aca585efe80"/>
    <w:p>
      <w:pPr>
        <w:pStyle w:val="Heading1"/>
      </w:pPr>
      <w:r>
        <w:t xml:space="preserve">Volume II · Chapter 8 — Prompt Engineering for Medicine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Volume-II-Chapter-8-context.md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7.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design effective prompts (zero/few-shot, chain-of-thought); produce structured outputs; assess reliability and hallucination; apply basic safety/injection awareness in clinical apps.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Prompting fundamentals: zero/few-shot, roles, instructions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Chain-of-thought &amp; reasoning prompts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Structured outputs (JSON, schemas), constrained generation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Retrieval-grounded prompting (intro to the RAG idea)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Reliability, hallucination &amp; self-consistency; when NOT to trust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t xml:space="preserve">Safety &amp; prompt-injection awareness in clinical apps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local LLM via Ollama (MedGemma) or HF; Python.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prompt-portfolio deliverable (</w:t>
      </w:r>
      <w:r>
        <w:rPr>
          <w:b/>
          <w:bCs/>
        </w:rPr>
        <w:t xml:space="preserve">50%</w:t>
      </w:r>
      <w:r>
        <w:t xml:space="preserve">); structured-extraction lab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prompting vs. fine-tuning vs. RAG; how to measure reliability; guardrails.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18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2026-08-02T19:36:38Z</dcterms:created>
  <dcterms:modified xsi:type="dcterms:W3CDTF">2026-08-02T19:36:38Z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