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386648231e2a8cda97f3dbdd93853af2a51746"/>
    <w:p>
      <w:pPr>
        <w:pStyle w:val="Heading1"/>
      </w:pPr>
      <w:r>
        <w:t xml:space="preserve">Volume II · Chapter 9 — Medical Domain Adaptation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Volume-II-Chapter-9-context.md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distinguish continued pretraining vs. fine-tuning vs. instruction tuning; explain how Meditron/Clinical-Camel/MedGemma were adapted; choose an adaptation strategy; reason about data requirements and licensing.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Why adapt general LLMs to medicine; gaps &amp; risks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Continued pretraining on biomedical corpora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Supervised fine-tuning &amp; instruction tuning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Case studies: Meditron, Clinical-Camel, MedGemma, PubMedBERT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Data: sources, curation, quality, licensing for medical corpora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Choosing an adaptation strategy vs. RAG (decision framework)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 models (Meditron/MedGemma/PubMedBERT),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adaptation-plan deliverable (</w:t>
      </w:r>
      <w:r>
        <w:rPr>
          <w:b/>
          <w:bCs/>
        </w:rPr>
        <w:t xml:space="preserve">50%</w:t>
      </w:r>
      <w:r>
        <w:t xml:space="preserve">); comparison lab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pretrain vs. fine-tune vs. RAG; data licensing; base-model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2026-08-02T19:36:39Z</dcterms:created>
  <dcterms:modified xsi:type="dcterms:W3CDTF">2026-08-02T19:36:39Z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