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767adbacf5a0f128ea168b0b38a35472601873"/>
    <w:p>
      <w:pPr>
        <w:pStyle w:val="Heading1"/>
      </w:pPr>
      <w:r>
        <w:t xml:space="preserve">Volume IV · Chapter 22 — State of the Art &amp; Evaluation (text/image/video)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15,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survey current medical LLM/multimodal/video SOTA honestly; design evaluation for book-derived models; assess source-fidelity and citation correctness; articulate maturity gaps.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Text medical LLMs today: Med-PaLM 2, Meditron, MedGemma; capabilities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Multimodal (image+text): Med-PaLM M, LLaVA-Med; the reliability gap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Video understanding: surgical/echo/endoscopy — early state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Evaluating book-derived models: source-fidelity &amp; citation correctness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eval harness; the RAG/fine-tuned models built in Volume IV.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SOTA briefing + fidelity eval (</w:t>
      </w:r>
      <w:r>
        <w:rPr>
          <w:b/>
          <w:bCs/>
        </w:rPr>
        <w:t xml:space="preserve">60%</w:t>
      </w:r>
      <w:r>
        <w:t xml:space="preserve">); citation-accuracy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honest capability claims; which modality is production-ready; how to report limits.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§6.3;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2026-08-02T19:36:49Z</dcterms:created>
  <dcterms:modified xsi:type="dcterms:W3CDTF">2026-08-02T19:36:49Z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