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1fbf0f2751c874c6d720cf2ff8e0b2d72a0d15f"/>
    <w:p>
      <w:pPr>
        <w:pStyle w:val="Heading1"/>
      </w:pPr>
      <w:r>
        <w:t xml:space="preserve">Volume V · Chapter 27 — Regulation, Ethics &amp; Liability · Labs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Volume-V-Chapter-27-context.md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15, Ch 26.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navigate device regulation for autonomous medical systems; analyze liability/accountability; apply an ethics framework; draft a safety/validation case.</w:t>
      </w:r>
    </w:p>
    <w:p>
      <w:pPr>
        <w:pStyle w:val="BodyText"/>
      </w:pPr>
      <w:r>
        <w:rPr>
          <w:b/>
          <w:bCs/>
        </w:rPr>
        <w:t xml:space="preserve">Labs (hands-on) — 4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27a</w:t>
            </w:r>
          </w:p>
        </w:tc>
        <w:tc>
          <w:tcPr/>
          <w:p>
            <w:pPr>
              <w:pStyle w:val="Compact"/>
            </w:pPr>
            <w:r>
              <w:t xml:space="preserve">Draft a regulatory/safety case for a proposed medical-robot feature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27b</w:t>
            </w:r>
          </w:p>
        </w:tc>
        <w:tc>
          <w:tcPr/>
          <w:p>
            <w:pPr>
              <w:pStyle w:val="Compact"/>
            </w:pPr>
            <w:r>
              <w:t xml:space="preserve">Ethics &amp; liability analysis of an autonomy scenario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regulatory guidance documents; case templates.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safety/regulatory case (</w:t>
      </w:r>
      <w:r>
        <w:rPr>
          <w:b/>
          <w:bCs/>
        </w:rPr>
        <w:t xml:space="preserve">60%</w:t>
      </w:r>
      <w:r>
        <w:t xml:space="preserve">); ethics analysis (</w:t>
      </w:r>
      <w:r>
        <w:rPr>
          <w:b/>
          <w:bCs/>
        </w:rPr>
        <w:t xml:space="preserve">20%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autonomy vs. oversight; regulatory pathway; acceptable risk &amp; accountability.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§7; §13 →</w:t>
      </w:r>
      <w:r>
        <w:t xml:space="preserve"> </w:t>
      </w:r>
      <w:r>
        <w:rPr>
          <w:i/>
          <w:iCs/>
        </w:rPr>
        <w:t xml:space="preserve">Robotics &amp; embodied AI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12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2026-08-02T19:36:54Z</dcterms:created>
  <dcterms:modified xsi:type="dcterms:W3CDTF">2026-08-02T19:36:54Z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