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ce7e365328c2fb6d74f811886197c6c41bfe11f"/>
    <w:p>
      <w:pPr>
        <w:pStyle w:val="Heading1"/>
      </w:pPr>
      <w:r>
        <w:t xml:space="preserve">Volume I · Chapter 2 — Foundations of Clinical Data (EHR; code sets; privacy) · Theory</w:t>
      </w:r>
    </w:p>
    <w:p>
      <w:pPr>
        <w:pStyle w:val="BlockText"/>
      </w:pPr>
      <w:r>
        <w:t xml:space="preserve">Source: split from</w:t>
      </w:r>
      <w:r>
        <w:t xml:space="preserve"> </w:t>
      </w:r>
      <w:r>
        <w:rPr>
          <w:rStyle w:val="VerbatimChar"/>
        </w:rPr>
        <w:t xml:space="preserve">med-tech-curriculum-V1.md</w:t>
      </w:r>
      <w:r>
        <w:t xml:space="preserve"> </w:t>
      </w:r>
      <w:r>
        <w:t xml:space="preserve">(V1). From this split onward this chapter is maintained</w:t>
      </w:r>
      <w:r>
        <w:t xml:space="preserve"> </w:t>
      </w:r>
      <w:r>
        <w:rPr>
          <w:b/>
          <w:bCs/>
        </w:rPr>
        <w:t xml:space="preserve">independently</w:t>
      </w:r>
      <w:r>
        <w:t xml:space="preserve"> </w:t>
      </w:r>
      <w:r>
        <w:t xml:space="preserve">here. See</w:t>
      </w:r>
      <w:r>
        <w:t xml:space="preserve"> </w:t>
      </w:r>
      <w:r>
        <w:rPr>
          <w:rStyle w:val="VerbatimChar"/>
        </w:rPr>
        <w:t xml:space="preserve">Volume-I-Chapter-2-context.md</w:t>
      </w:r>
      <w:r>
        <w:t xml:space="preserve"> </w:t>
      </w:r>
      <w:r>
        <w:t xml:space="preserve">for the AI interaction log.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Ch 1 (Python/Pandas).</w:t>
      </w:r>
    </w:p>
    <w:p>
      <w:pPr>
        <w:pStyle w:val="BodyText"/>
      </w:pPr>
      <w:r>
        <w:rPr>
          <w:b/>
          <w:bCs/>
        </w:rPr>
        <w:t xml:space="preserve">Learning outcomes — the student can:</w:t>
      </w:r>
    </w:p>
    <w:p>
      <w:pPr>
        <w:pStyle w:val="Compact"/>
        <w:numPr>
          <w:ilvl w:val="0"/>
          <w:numId w:val="1001"/>
        </w:numPr>
      </w:pPr>
      <w:r>
        <w:t xml:space="preserve">Describe</w:t>
      </w:r>
      <w:r>
        <w:t xml:space="preserve"> </w:t>
      </w:r>
      <w:r>
        <w:rPr>
          <w:b/>
          <w:bCs/>
        </w:rPr>
        <w:t xml:space="preserve">EHR structure</w:t>
      </w:r>
      <w:r>
        <w:t xml:space="preserve"> </w:t>
      </w:r>
      <w:r>
        <w:t xml:space="preserve">and its core data domains, and distinguish structured vs. unstructured data.</w:t>
      </w:r>
    </w:p>
    <w:p>
      <w:pPr>
        <w:pStyle w:val="Compact"/>
        <w:numPr>
          <w:ilvl w:val="0"/>
          <w:numId w:val="1001"/>
        </w:numPr>
      </w:pPr>
      <w:r>
        <w:t xml:space="preserve">Navigate and</w:t>
      </w:r>
      <w:r>
        <w:t xml:space="preserve"> </w:t>
      </w:r>
      <w:r>
        <w:rPr>
          <w:b/>
          <w:bCs/>
        </w:rPr>
        <w:t xml:space="preserve">map medical code sets</w:t>
      </w:r>
      <w:r>
        <w:t xml:space="preserve"> </w:t>
      </w:r>
      <w:r>
        <w:t xml:space="preserve">— ICD-10-CM/PCS, CPT/HCPCS, SNOMED CT, LOINC — to the right purpose.</w:t>
      </w:r>
    </w:p>
    <w:p>
      <w:pPr>
        <w:pStyle w:val="Compact"/>
        <w:numPr>
          <w:ilvl w:val="0"/>
          <w:numId w:val="1001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data privacy/regulation</w:t>
      </w:r>
      <w:r>
        <w:t xml:space="preserve"> </w:t>
      </w:r>
      <w:r>
        <w:t xml:space="preserve">(HIPAA, GDPR) and what makes clinical data identifiable.</w:t>
      </w:r>
    </w:p>
    <w:p>
      <w:pPr>
        <w:pStyle w:val="Compact"/>
        <w:numPr>
          <w:ilvl w:val="0"/>
          <w:numId w:val="1001"/>
        </w:numPr>
      </w:pPr>
      <w:r>
        <w:t xml:space="preserve">Apply basic</w:t>
      </w:r>
      <w:r>
        <w:t xml:space="preserve"> </w:t>
      </w:r>
      <w:r>
        <w:rPr>
          <w:b/>
          <w:bCs/>
        </w:rPr>
        <w:t xml:space="preserve">de-identification</w:t>
      </w:r>
      <w:r>
        <w:t xml:space="preserve"> </w:t>
      </w:r>
      <w:r>
        <w:t xml:space="preserve">and justify</w:t>
      </w:r>
      <w:r>
        <w:t xml:space="preserve"> </w:t>
      </w:r>
      <w:r>
        <w:rPr>
          <w:b/>
          <w:bCs/>
        </w:rPr>
        <w:t xml:space="preserve">synthetic-data</w:t>
      </w:r>
      <w:r>
        <w:t xml:space="preserve"> </w:t>
      </w:r>
      <w:r>
        <w:t xml:space="preserve">use for development.</w:t>
      </w:r>
    </w:p>
    <w:p>
      <w:pPr>
        <w:pStyle w:val="FirstParagraph"/>
      </w:pPr>
      <w:r>
        <w:rPr>
          <w:b/>
          <w:bCs/>
        </w:rPr>
        <w:t xml:space="preserve">Topics (theory) — 10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The EHR: data domains (demographics, encounters, dx, procedures, meds, labs, vitals, notes); structured vs. unstructured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</w:t>
            </w:r>
          </w:p>
        </w:tc>
        <w:tc>
          <w:tcPr/>
          <w:p>
            <w:pPr>
              <w:pStyle w:val="Compact"/>
            </w:pPr>
            <w:r>
              <w:t xml:space="preserve">Diagnosis &amp; procedure code sets: ICD-10-CM/PCS, CPT/HCPCS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2.3</w:t>
            </w:r>
          </w:p>
        </w:tc>
        <w:tc>
          <w:tcPr/>
          <w:p>
            <w:pPr>
              <w:pStyle w:val="Compact"/>
            </w:pPr>
            <w:r>
              <w:t xml:space="preserve">Clinical terminologies: SNOMED CT (concepts/hierarchies), LOINC (labs)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2.4</w:t>
            </w:r>
          </w:p>
        </w:tc>
        <w:tc>
          <w:tcPr/>
          <w:p>
            <w:pPr>
              <w:pStyle w:val="Compact"/>
            </w:pPr>
            <w:r>
              <w:t xml:space="preserve">Mapping, crosswalks &amp; value sets between terminologies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Privacy &amp; regulation: HIPAA (PHI, Safe Harbor / Expert Determination), GDPR (special-category data, lawful basis)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2.6</w:t>
            </w:r>
          </w:p>
        </w:tc>
        <w:tc>
          <w:tcPr/>
          <w:p>
            <w:pPr>
              <w:pStyle w:val="Compact"/>
            </w:pPr>
            <w:r>
              <w:t xml:space="preserve">De-identification, synthetic data &amp; data-governance basics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Datasets/tools:</w:t>
      </w:r>
      <w:r>
        <w:t xml:space="preserve"> </w:t>
      </w:r>
      <w:r>
        <w:t xml:space="preserve">synthetic EHR; public browsers (ICD-10, SNOMED CT browser, LOINC search); Pandas.</w:t>
      </w:r>
    </w:p>
    <w:p>
      <w:pPr>
        <w:pStyle w:val="BodyText"/>
      </w:pPr>
      <w:r>
        <w:rPr>
          <w:b/>
          <w:bCs/>
        </w:rPr>
        <w:t xml:space="preserve">Assessment:</w:t>
      </w:r>
      <w:r>
        <w:t xml:space="preserve"> </w:t>
      </w:r>
      <w:r>
        <w:t xml:space="preserve">quiz on code sets &amp; privacy (</w:t>
      </w:r>
      <w:r>
        <w:rPr>
          <w:b/>
          <w:bCs/>
        </w:rPr>
        <w:t xml:space="preserve">40%</w:t>
      </w:r>
      <w:r>
        <w:t xml:space="preserve">); crosswalk deliverable (</w:t>
      </w:r>
      <w:r>
        <w:rPr>
          <w:b/>
          <w:bCs/>
        </w:rPr>
        <w:t xml:space="preserve">30%</w:t>
      </w:r>
      <w:r>
        <w:t xml:space="preserve">); de-identification lab rubric (</w:t>
      </w:r>
      <w:r>
        <w:rPr>
          <w:b/>
          <w:bCs/>
        </w:rPr>
        <w:t xml:space="preserve">30%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Key decisions:</w:t>
      </w:r>
      <w:r>
        <w:t xml:space="preserve"> </w:t>
      </w:r>
      <w:r>
        <w:t xml:space="preserve">which terminology fits which purpose; when data is/ isn't de-identified;</w:t>
      </w:r>
      <w:r>
        <w:t xml:space="preserve"> </w:t>
      </w:r>
      <w:r>
        <w:rPr>
          <w:b/>
          <w:bCs/>
        </w:rPr>
        <w:t xml:space="preserve">synthetic vs. real</w:t>
      </w:r>
      <w:r>
        <w:t xml:space="preserve"> </w:t>
      </w:r>
      <w:r>
        <w:t xml:space="preserve">data for development.</w:t>
      </w:r>
    </w:p>
    <w:p>
      <w:pPr>
        <w:pStyle w:val="BodyText"/>
      </w:pPr>
      <w:r>
        <w:rPr>
          <w:b/>
          <w:bCs/>
        </w:rPr>
        <w:t xml:space="preserve">References:</w:t>
      </w:r>
      <w:r>
        <w:t xml:space="preserve"> </w:t>
      </w:r>
      <w:r>
        <w:t xml:space="preserve">plan §13 →</w:t>
      </w:r>
      <w:r>
        <w:t xml:space="preserve"> </w:t>
      </w:r>
      <w:r>
        <w:rPr>
          <w:i/>
          <w:iCs/>
        </w:rPr>
        <w:t xml:space="preserve">Clinical data, code sets &amp; privacy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Hours:</w:t>
      </w:r>
      <w:r>
        <w:t xml:space="preserve"> </w:t>
      </w:r>
      <w:r>
        <w:t xml:space="preserve">Theory</w:t>
      </w:r>
      <w:r>
        <w:t xml:space="preserve"> </w:t>
      </w:r>
      <w:r>
        <w:rPr>
          <w:b/>
          <w:bCs/>
        </w:rPr>
        <w:t xml:space="preserve">10</w:t>
      </w:r>
      <w:r>
        <w:t xml:space="preserve"> </w:t>
      </w:r>
      <w:r>
        <w:t xml:space="preserve">+ Lab</w:t>
      </w:r>
      <w:r>
        <w:t xml:space="preserve"> </w:t>
      </w:r>
      <w:r>
        <w:rPr>
          <w:b/>
          <w:bCs/>
        </w:rPr>
        <w:t xml:space="preserve">6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16</w:t>
      </w:r>
      <w:r>
        <w:t xml:space="preserve">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zh-CN" w:val="en-US"/>
      </w:rPr>
    </w:rPrDefault>
    <w:pPrDefault>
      <w:pPr>
        <w:spacing w:after="200" w:line="360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  <w:jc w:val="both"/>
    </w:pPr>
    <w:rPr>
      <w:rFonts w:ascii="Arial" w:cs="Arial" w:eastAsia="Arial" w:hAnsi="Arial"/>
      <w:sz w:val="24"/>
      <w:szCs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jc w:val="left"/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jc w:val="left"/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jc w:val="left"/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jc w:val="left"/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jc w:val="left"/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jc w:val="left"/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jc w:val="left"/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jc w:val="left"/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2026-08-02T21:04:31Z</dcterms:created>
  <dcterms:modified xsi:type="dcterms:W3CDTF">2026-08-02T21:04:31Z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