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6e4f1934e05fad7d889728b05c2cae1383168e3"/>
    <w:p>
      <w:pPr>
        <w:pStyle w:val="Heading1"/>
      </w:pPr>
      <w:r>
        <w:t xml:space="preserve">Volume II · Chapter 10 — Benchmarking &amp; Hallucination · Labs</w:t>
      </w:r>
    </w:p>
    <w:p>
      <w:pPr>
        <w:pStyle w:val="BlockText"/>
      </w:pPr>
      <w:r>
        <w:t xml:space="preserve">Source: split from</w:t>
      </w:r>
      <w:r>
        <w:t xml:space="preserve"> </w:t>
      </w:r>
      <w:r>
        <w:rPr>
          <w:rStyle w:val="VerbatimChar"/>
        </w:rPr>
        <w:t xml:space="preserve">med-tech-curriculum-V1.md</w:t>
      </w:r>
      <w:r>
        <w:t xml:space="preserve"> </w:t>
      </w:r>
      <w:r>
        <w:t xml:space="preserve">(V1). From this split onward this chapter is maintained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here. See</w:t>
      </w:r>
      <w:r>
        <w:t xml:space="preserve"> </w:t>
      </w:r>
      <w:r>
        <w:rPr>
          <w:rStyle w:val="VerbatimChar"/>
        </w:rPr>
        <w:t xml:space="preserve">Volume-II-Chapter-10-context.md</w:t>
      </w:r>
      <w:r>
        <w:t xml:space="preserve"> </w:t>
      </w:r>
      <w:r>
        <w:t xml:space="preserve">for the AI interaction log.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8, Ch 9.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evaluate LLMs on medical benchmarks (MedQA/PubMedQA/MedMCQA); interpret results; measure hallucination; build an eval harness; explain why benchmark ≠ clinical safety.</w:t>
      </w:r>
    </w:p>
    <w:p>
      <w:pPr>
        <w:pStyle w:val="BodyText"/>
      </w:pPr>
      <w:r>
        <w:rPr>
          <w:b/>
          <w:bCs/>
        </w:rPr>
        <w:t xml:space="preserve">Labs (hands-on) — 8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10a</w:t>
            </w:r>
          </w:p>
        </w:tc>
        <w:tc>
          <w:tcPr/>
          <w:p>
            <w:pPr>
              <w:pStyle w:val="Compact"/>
            </w:pPr>
            <w:r>
              <w:t xml:space="preserve">Run a model on a MedQA-style set; compute accuracy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10b</w:t>
            </w:r>
          </w:p>
        </w:tc>
        <w:tc>
          <w:tcPr/>
          <w:p>
            <w:pPr>
              <w:pStyle w:val="Compact"/>
            </w:pPr>
            <w:r>
              <w:t xml:space="preserve">Build a small eval harness with the</w:t>
            </w:r>
            <w:r>
              <w:t xml:space="preserve"> </w:t>
            </w:r>
            <w:r>
              <w:rPr>
                <w:rStyle w:val="VerbatimChar"/>
              </w:rPr>
              <w:t xml:space="preserve">evaluate</w:t>
            </w:r>
            <w:r>
              <w:t xml:space="preserve"> </w:t>
            </w: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10c</w:t>
            </w:r>
          </w:p>
        </w:tc>
        <w:tc>
          <w:tcPr/>
          <w:p>
            <w:pPr>
              <w:pStyle w:val="Compact"/>
            </w:pPr>
            <w:r>
              <w:t xml:space="preserve">Hallucination test: craft adversarial clinical prompts, score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HF</w:t>
      </w:r>
      <w:r>
        <w:t xml:space="preserve"> </w:t>
      </w:r>
      <w:r>
        <w:rPr>
          <w:rStyle w:val="VerbatimChar"/>
        </w:rPr>
        <w:t xml:space="preserve">datasets</w:t>
      </w:r>
      <w:r>
        <w:t xml:space="preserve">/</w:t>
      </w:r>
      <w:r>
        <w:rPr>
          <w:rStyle w:val="VerbatimChar"/>
        </w:rPr>
        <w:t xml:space="preserve">evaluate</w:t>
      </w:r>
      <w:r>
        <w:t xml:space="preserve">; local LLM.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eval-harness deliverable (</w:t>
      </w:r>
      <w:r>
        <w:rPr>
          <w:b/>
          <w:bCs/>
        </w:rPr>
        <w:t xml:space="preserve">50%</w:t>
      </w:r>
      <w:r>
        <w:t xml:space="preserve">); hallucination report (</w:t>
      </w:r>
      <w:r>
        <w:rPr>
          <w:b/>
          <w:bCs/>
        </w:rPr>
        <w:t xml:space="preserve">30%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which benchmark supports which claim; honest reporting of limitations.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§13 →</w:t>
      </w:r>
      <w:r>
        <w:t xml:space="preserve"> </w:t>
      </w:r>
      <w:r>
        <w:rPr>
          <w:i/>
          <w:iCs/>
        </w:rPr>
        <w:t xml:space="preserve">Fine-tuning, alignment &amp; benchmarks</w:t>
      </w:r>
      <w:r>
        <w:t xml:space="preserve">;</w:t>
      </w:r>
      <w:r>
        <w:t xml:space="preserve"> </w:t>
      </w:r>
      <w:r>
        <w:rPr>
          <w:i/>
          <w:iCs/>
        </w:rPr>
        <w:t xml:space="preserve">Medical LLMs</w:t>
      </w:r>
      <w:r>
        <w:t xml:space="preserve">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16</w:t>
      </w:r>
      <w:r>
        <w:t xml:space="preserve">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zh-CN" w:val="en-US"/>
      </w:rPr>
    </w:rPrDefault>
    <w:pPrDefault>
      <w:pPr>
        <w:spacing w:after="20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</w:pPr>
    <w:rPr>
      <w:rFonts w:ascii="Arial" w:cs="Arial" w:eastAsia="Arial" w:hAnsi="Arial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jc w:val="left"/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jc w:val="left"/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jc w:val="left"/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jc w:val="left"/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jc w:val="left"/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jc w:val="left"/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jc w:val="left"/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jc w:val="left"/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2026-08-02T21:04:35Z</dcterms:created>
  <dcterms:modified xsi:type="dcterms:W3CDTF">2026-08-02T21:04:35Z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