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b8d9214250481a1d8f6c47c3aa33be208a364c"/>
    <w:p>
      <w:pPr>
        <w:pStyle w:val="Heading1"/>
      </w:pPr>
      <w:r>
        <w:t xml:space="preserve">Volume II · Chapter 10 — Benchmarking &amp; Hallucination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Volume-II-Chapter-10-context.md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8, Ch 9.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evaluate LLMs on medical benchmarks (MedQA/PubMedQA/MedMCQA); interpret results; measure hallucination; build an eval harness; explain why benchmark ≠ clinical safety.</w:t>
      </w:r>
    </w:p>
    <w:p>
      <w:pPr>
        <w:pStyle w:val="BodyText"/>
      </w:pPr>
      <w:r>
        <w:rPr>
          <w:b/>
          <w:bCs/>
        </w:rPr>
        <w:t xml:space="preserve">Topics (theory) — 8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Benchmark landscape: MedQA (USMLE), PubMedQA, MedMCQA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10.2</w:t>
            </w:r>
          </w:p>
        </w:tc>
        <w:tc>
          <w:tcPr/>
          <w:p>
            <w:pPr>
              <w:pStyle w:val="Compact"/>
            </w:pPr>
            <w:r>
              <w:t xml:space="preserve">Metrics: accuracy, exact-match &amp; their limits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10.3</w:t>
            </w:r>
          </w:p>
        </w:tc>
        <w:tc>
          <w:tcPr/>
          <w:p>
            <w:pPr>
              <w:pStyle w:val="Compact"/>
            </w:pPr>
            <w:r>
              <w:t xml:space="preserve">Hallucination: definitions, causes, measurement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Faithfulness &amp; grounding metrics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10.5</w:t>
            </w:r>
          </w:p>
        </w:tc>
        <w:tc>
          <w:tcPr/>
          <w:p>
            <w:pPr>
              <w:pStyle w:val="Compact"/>
            </w:pPr>
            <w:r>
              <w:t xml:space="preserve">Benchmark ≠ clinical safety; distribution shift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datasets</w:t>
      </w:r>
      <w:r>
        <w:t xml:space="preserve">/</w:t>
      </w:r>
      <w:r>
        <w:rPr>
          <w:rStyle w:val="VerbatimChar"/>
        </w:rPr>
        <w:t xml:space="preserve">evaluate</w:t>
      </w:r>
      <w:r>
        <w:t xml:space="preserve">; local LLM.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eval-harness deliverable (</w:t>
      </w:r>
      <w:r>
        <w:rPr>
          <w:b/>
          <w:bCs/>
        </w:rPr>
        <w:t xml:space="preserve">50%</w:t>
      </w:r>
      <w:r>
        <w:t xml:space="preserve">); hallucination report (</w:t>
      </w:r>
      <w:r>
        <w:rPr>
          <w:b/>
          <w:bCs/>
        </w:rPr>
        <w:t xml:space="preserve">30%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which benchmark supports which claim; honest reporting of limitations.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Fine-tuning, alignment &amp; benchmarks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16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cs="Arial" w:eastAsia="Arial" w:hAnsi="Arial"/>
        <w:sz w:val="24"/>
        <w:szCs w:val="24"/>
        <w:lang w:bidi="ar-SA" w:eastAsia="zh-CN" w:val="en-US"/>
      </w:rPr>
    </w:rPrDefault>
    <w:pPrDefault>
      <w:pPr>
        <w:spacing w:after="20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  <w:jc w:val="both"/>
    </w:pPr>
    <w:rPr>
      <w:rFonts w:ascii="Arial" w:cs="Arial" w:eastAsia="Arial" w:hAnsi="Arial"/>
      <w:sz w:val="24"/>
      <w:szCs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jc w:val="left"/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jc w:val="left"/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jc w:val="left"/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jc w:val="left"/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jc w:val="left"/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jc w:val="left"/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2026-08-02T21:04:35Z</dcterms:created>
  <dcterms:modified xsi:type="dcterms:W3CDTF">2026-08-02T21:04:35Z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