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2abe60701b50847f5e58c8325560db0e54bdf79"/>
    <w:p>
      <w:pPr>
        <w:pStyle w:val="Heading1"/>
      </w:pPr>
      <w:r>
        <w:t xml:space="preserve">Volume II · Chapter 11 — First Fine-Tunes (PubMedBERT, QLoRA, local MedGemma/Ollama) · Theory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Volume-II-Chapter-11-context.md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7–10.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fine-tune a biomedical BERT for classification; apply QLoRA to fine-tune a small generative LLM on medical QA; run models locally via Ollama; evaluate a fine-tune and write a model card.</w:t>
      </w:r>
    </w:p>
    <w:p>
      <w:pPr>
        <w:pStyle w:val="BodyText"/>
      </w:pPr>
      <w:r>
        <w:rPr>
          <w:b/>
          <w:bCs/>
        </w:rPr>
        <w:t xml:space="preserve">Topics (theory) — 10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11.1</w:t>
            </w:r>
          </w:p>
        </w:tc>
        <w:tc>
          <w:tcPr/>
          <w:p>
            <w:pPr>
              <w:pStyle w:val="Compact"/>
            </w:pPr>
            <w:r>
              <w:t xml:space="preserve">Fine-tuning mechanics: heads, learning rate, epochs, overfitting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11.2</w:t>
            </w:r>
          </w:p>
        </w:tc>
        <w:tc>
          <w:tcPr/>
          <w:p>
            <w:pPr>
              <w:pStyle w:val="Compact"/>
            </w:pPr>
            <w:r>
              <w:t xml:space="preserve">Parameter-efficient fine-tuning: LoRA &amp; QLoRA (quantization)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11.3</w:t>
            </w:r>
          </w:p>
        </w:tc>
        <w:tc>
          <w:tcPr/>
          <w:p>
            <w:pPr>
              <w:pStyle w:val="Compact"/>
            </w:pPr>
            <w:r>
              <w:t xml:space="preserve">Datasets for fine-tuning: formatting, splits, tokenization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11.4</w:t>
            </w:r>
          </w:p>
        </w:tc>
        <w:tc>
          <w:tcPr/>
          <w:p>
            <w:pPr>
              <w:pStyle w:val="Compact"/>
            </w:pPr>
            <w:r>
              <w:t xml:space="preserve">Local deployment: Ollama, GGUF, quantization levels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11.5</w:t>
            </w:r>
          </w:p>
        </w:tc>
        <w:tc>
          <w:tcPr/>
          <w:p>
            <w:pPr>
              <w:pStyle w:val="Compact"/>
            </w:pPr>
            <w:r>
              <w:t xml:space="preserve">Evaluating a fine-tuned medical model; avoiding leakage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11.6</w:t>
            </w:r>
          </w:p>
        </w:tc>
        <w:tc>
          <w:tcPr/>
          <w:p>
            <w:pPr>
              <w:pStyle w:val="Compact"/>
            </w:pPr>
            <w:r>
              <w:t xml:space="preserve">Compute &amp; memory budgeting on consumer GPUs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HF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/</w:t>
      </w:r>
      <w:r>
        <w:rPr>
          <w:rStyle w:val="VerbatimChar"/>
        </w:rPr>
        <w:t xml:space="preserve">peft</w:t>
      </w:r>
      <w:r>
        <w:t xml:space="preserve">/</w:t>
      </w:r>
      <w:r>
        <w:rPr>
          <w:rStyle w:val="VerbatimChar"/>
        </w:rPr>
        <w:t xml:space="preserve">bitsandbytes</w:t>
      </w:r>
      <w:r>
        <w:t xml:space="preserve">, QLoRA, Ollama, MedGemma; GPU workstation.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fine-tuned model + model card (</w:t>
      </w:r>
      <w:r>
        <w:rPr>
          <w:b/>
          <w:bCs/>
        </w:rPr>
        <w:t xml:space="preserve">60%</w:t>
      </w:r>
      <w:r>
        <w:t xml:space="preserve">); eval report (</w:t>
      </w:r>
      <w:r>
        <w:rPr>
          <w:b/>
          <w:bCs/>
        </w:rPr>
        <w:t xml:space="preserve">20%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full vs. PEFT fine-tuning; quantization level vs. quality; base model/size vs. hardware.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Fine-tuning…</w:t>
      </w:r>
      <w:r>
        <w:t xml:space="preserve">;</w:t>
      </w:r>
      <w:r>
        <w:t xml:space="preserve"> </w:t>
      </w:r>
      <w:r>
        <w:rPr>
          <w:i/>
          <w:iCs/>
        </w:rPr>
        <w:t xml:space="preserve">Medical LLMs</w:t>
      </w:r>
      <w:r>
        <w:t xml:space="preserve">;</w:t>
      </w:r>
      <w:r>
        <w:t xml:space="preserve"> </w:t>
      </w:r>
      <w:r>
        <w:rPr>
          <w:i/>
          <w:iCs/>
        </w:rPr>
        <w:t xml:space="preserve">…local inference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20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30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zh-CN" w:val="en-US"/>
      </w:rPr>
    </w:rPrDefault>
    <w:pPrDefault>
      <w:pPr>
        <w:spacing w:after="20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jc w:val="both"/>
    </w:pPr>
    <w:rPr>
      <w:rFonts w:ascii="Arial" w:cs="Arial" w:eastAsia="Arial" w:hAnsi="Arial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jc w:val="left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jc w:val="left"/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jc w:val="left"/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jc w:val="left"/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2026-08-02T21:04:36Z</dcterms:created>
  <dcterms:modified xsi:type="dcterms:W3CDTF">2026-08-02T21:04:36Z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