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506661c20a2b5fc2e6eaf73318cb6b36df4967"/>
    <w:p>
      <w:pPr>
        <w:pStyle w:val="Heading1"/>
      </w:pPr>
      <w:r>
        <w:t xml:space="preserve">Volume II · Chapter 6 — Transformer Architecture &amp; Self-Attention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Volume-II-Chapter-6-context.md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4 (ML), Ch 5 (NLP basics).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self-attention and the transformer block; describe tokenization, embeddings and positional encoding; distinguish encoder/decoder/encoder-decoder families; read a model card and reason about parameters/context length.</w:t>
      </w:r>
    </w:p>
    <w:p>
      <w:pPr>
        <w:pStyle w:val="BodyText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From embeddings to context; limits of classical NLP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Tokenization &amp; subwords (BPE, WordPiece)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Self-attention &amp; multi-head attention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The transformer block: FFN, residuals, layer norm, positional encoding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Architectures: encoder (BERT), decoder (GPT), encoder-decoder (T5)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Pretraining objectives (MLM, causal LM) &amp; scaling intuition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Reading model cards: parameters, context length, tokens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; a small BERT/GPT; clinical text samples.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architecture quiz (</w:t>
      </w:r>
      <w:r>
        <w:rPr>
          <w:b/>
          <w:bCs/>
        </w:rPr>
        <w:t xml:space="preserve">50%</w:t>
      </w:r>
      <w:r>
        <w:t xml:space="preserve">); attention-visualization writeup (</w:t>
      </w:r>
      <w:r>
        <w:rPr>
          <w:b/>
          <w:bCs/>
        </w:rPr>
        <w:t xml:space="preserve">30%</w:t>
      </w:r>
      <w:r>
        <w:t xml:space="preserve">); tokenization exercise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encoder vs. decoder for a task; context length vs. cost; tokenizer choice.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2026-08-02T21:04:37Z</dcterms:created>
  <dcterms:modified xsi:type="dcterms:W3CDTF">2026-08-02T21:04:37Z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