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ec21e29a1a2449dd99b181f32ef4b2fc3c3485"/>
    <w:p>
      <w:pPr>
        <w:pStyle w:val="Heading1"/>
      </w:pPr>
      <w:r>
        <w:t xml:space="preserve">Volume II · Chapter 8 — Prompt Engineering for Medicine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Volume-II-Chapter-8-context.md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7.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design effective prompts (zero/few-shot, chain-of-thought); produce structured outputs; assess reliability and hallucination; apply basic safety/injection awareness in clinical apps.</w:t>
      </w:r>
    </w:p>
    <w:p>
      <w:pPr>
        <w:pStyle w:val="BodyText"/>
      </w:pPr>
      <w:r>
        <w:rPr>
          <w:b/>
          <w:bCs/>
        </w:rPr>
        <w:t xml:space="preserve">Labs (hands-on)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8a</w:t>
            </w:r>
          </w:p>
        </w:tc>
        <w:tc>
          <w:tcPr/>
          <w:p>
            <w:pPr>
              <w:pStyle w:val="Compact"/>
            </w:pPr>
            <w:r>
              <w:t xml:space="preserve">Prompt iteration on a clinical QA task; zero- vs. few-shot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8b</w:t>
            </w:r>
          </w:p>
        </w:tc>
        <w:tc>
          <w:tcPr/>
          <w:p>
            <w:pPr>
              <w:pStyle w:val="Compact"/>
            </w:pPr>
            <w:r>
              <w:t xml:space="preserve">Chain-of-thought vs. direct on clinical reasoning; measure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</w:t>
            </w:r>
          </w:p>
        </w:tc>
        <w:tc>
          <w:tcPr/>
          <w:p>
            <w:pPr>
              <w:pStyle w:val="Compact"/>
            </w:pPr>
            <w:r>
              <w:t xml:space="preserve">Structured extraction: prompt an LLM to output a JSON clinical summary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8d</w:t>
            </w:r>
          </w:p>
        </w:tc>
        <w:tc>
          <w:tcPr/>
          <w:p>
            <w:pPr>
              <w:pStyle w:val="Compact"/>
            </w:pPr>
            <w:r>
              <w:t xml:space="preserve">Hallucination probe: design tests, log failures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local LLM via Ollama (MedGemma) or HF; Python.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prompt-portfolio deliverable (</w:t>
      </w:r>
      <w:r>
        <w:rPr>
          <w:b/>
          <w:bCs/>
        </w:rPr>
        <w:t xml:space="preserve">50%</w:t>
      </w:r>
      <w:r>
        <w:t xml:space="preserve">); structured-extraction lab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prompting vs. fine-tuning vs. RAG; how to measure reliability; guardrails.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18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2026-08-02T21:04:39Z</dcterms:created>
  <dcterms:modified xsi:type="dcterms:W3CDTF">2026-08-02T21:04:39Z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