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1b477efb24bbe2fbd04b9d25877aca585efe80"/>
    <w:p>
      <w:pPr>
        <w:pStyle w:val="Heading1"/>
      </w:pPr>
      <w:r>
        <w:t xml:space="preserve">Volume II · Chapter 8 — Prompt Engineering for Medicine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Volume-II-Chapter-8-context.md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effective prompts (zero/few-shot, chain-of-thought); produce structured outputs; assess reliability and hallucination; apply basic safety/injection awareness in clinical apps.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Prompting fundamentals: zero/few-shot, roles, instructions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Chain-of-thought &amp; reasoning prompts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Structured outputs (JSON, schemas), constrained generation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Retrieval-grounded prompting (intro to the RAG idea)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Reliability, hallucination &amp; self-consistency; when NOT to trust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Safety &amp; prompt-injection awareness in clinical apps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 via Ollama (MedGemma) or HF; Python.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prompt-portfolio deliverable (</w:t>
      </w:r>
      <w:r>
        <w:rPr>
          <w:b/>
          <w:bCs/>
        </w:rPr>
        <w:t xml:space="preserve">50%</w:t>
      </w:r>
      <w:r>
        <w:t xml:space="preserve">); structured-extraction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prompting vs. fine-tuning vs. RAG; how to measure reliability; guardrails.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2026-08-02T21:04:39Z</dcterms:created>
  <dcterms:modified xsi:type="dcterms:W3CDTF">2026-08-02T21:04:39Z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