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d5dbc5590f549f27e284b416188faec3b9ba47"/>
    <w:p>
      <w:pPr>
        <w:pStyle w:val="Heading1"/>
      </w:pPr>
      <w:r>
        <w:t xml:space="preserve">Volume II · Chapter 9 — Medical Domain Adaptation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Volume-II-Chapter-9-context.md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distinguish continued pretraining vs. fine-tuning vs. instruction tuning; explain how Meditron/Clinical-Camel/MedGemma were adapted; choose an adaptation strategy; reason about data requirements and licensing.</w:t>
      </w:r>
    </w:p>
    <w:p>
      <w:pPr>
        <w:pStyle w:val="BodyText"/>
      </w:pPr>
      <w:r>
        <w:rPr>
          <w:b/>
          <w:bCs/>
        </w:rPr>
        <w:t xml:space="preserve">Labs (hands-on) — 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9a</w:t>
            </w:r>
          </w:p>
        </w:tc>
        <w:tc>
          <w:tcPr/>
          <w:p>
            <w:pPr>
              <w:pStyle w:val="Compact"/>
            </w:pPr>
            <w:r>
              <w:t xml:space="preserve">Compare a general vs. domain-adapted model on medical prompts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9b</w:t>
            </w:r>
          </w:p>
        </w:tc>
        <w:tc>
          <w:tcPr/>
          <w:p>
            <w:pPr>
              <w:pStyle w:val="Compact"/>
            </w:pPr>
            <w:r>
              <w:t xml:space="preserve">Prepare a small biomedical instruction dataset (format, clean)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9c</w:t>
            </w:r>
          </w:p>
        </w:tc>
        <w:tc>
          <w:tcPr/>
          <w:p>
            <w:pPr>
              <w:pStyle w:val="Compact"/>
            </w:pPr>
            <w:r>
              <w:t xml:space="preserve">Design an adaptation plan for a chosen clinical use case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 models (Meditron/MedGemma/PubMedBERT),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adaptation-plan deliverable (</w:t>
      </w:r>
      <w:r>
        <w:rPr>
          <w:b/>
          <w:bCs/>
        </w:rPr>
        <w:t xml:space="preserve">50%</w:t>
      </w:r>
      <w:r>
        <w:t xml:space="preserve">); comparison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RAG; data licensing; base-model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2026-08-02T21:04:40Z</dcterms:created>
  <dcterms:modified xsi:type="dcterms:W3CDTF">2026-08-02T21:04:40Z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