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386648231e2a8cda97f3dbdd93853af2a51746"/>
    <w:p>
      <w:pPr>
        <w:pStyle w:val="Heading1"/>
      </w:pPr>
      <w:r>
        <w:t xml:space="preserve">Volume II · Chapter 9 — Medical Domain Adaptation · Theory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Volume-II-Chapter-9-context.md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7, Ch 8.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distinguish continued pretraining vs. fine-tuning vs. instruction tuning; explain how Meditron/Clinical-Camel/MedGemma were adapted; choose an adaptation strategy; reason about data requirements and licensing.</w:t>
      </w:r>
    </w:p>
    <w:p>
      <w:pPr>
        <w:pStyle w:val="BodyText"/>
      </w:pPr>
      <w:r>
        <w:rPr>
          <w:b/>
          <w:bCs/>
        </w:rPr>
        <w:t xml:space="preserve">Topics (theory) — 10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</w:t>
            </w:r>
          </w:p>
        </w:tc>
        <w:tc>
          <w:tcPr/>
          <w:p>
            <w:pPr>
              <w:pStyle w:val="Compact"/>
            </w:pPr>
            <w:r>
              <w:t xml:space="preserve">Why adapt general LLMs to medicine; gaps &amp; risks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9.2</w:t>
            </w:r>
          </w:p>
        </w:tc>
        <w:tc>
          <w:tcPr/>
          <w:p>
            <w:pPr>
              <w:pStyle w:val="Compact"/>
            </w:pPr>
            <w:r>
              <w:t xml:space="preserve">Continued pretraining on biomedical corpora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9.3</w:t>
            </w:r>
          </w:p>
        </w:tc>
        <w:tc>
          <w:tcPr/>
          <w:p>
            <w:pPr>
              <w:pStyle w:val="Compact"/>
            </w:pPr>
            <w:r>
              <w:t xml:space="preserve">Supervised fine-tuning &amp; instruction tuning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</w:t>
            </w:r>
          </w:p>
        </w:tc>
        <w:tc>
          <w:tcPr/>
          <w:p>
            <w:pPr>
              <w:pStyle w:val="Compact"/>
            </w:pPr>
            <w:r>
              <w:t xml:space="preserve">Case studies: Meditron, Clinical-Camel, MedGemma, PubMedBERT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t xml:space="preserve">Data: sources, curation, quality, licensing for medical corpora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</w:t>
            </w:r>
          </w:p>
        </w:tc>
        <w:tc>
          <w:tcPr/>
          <w:p>
            <w:pPr>
              <w:pStyle w:val="Compact"/>
            </w:pPr>
            <w:r>
              <w:t xml:space="preserve">Choosing an adaptation strategy vs. RAG (decision framework)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HF models (Meditron/MedGemma/PubMedBERT),</w:t>
      </w:r>
      <w:r>
        <w:t xml:space="preserve"> </w:t>
      </w:r>
      <w:r>
        <w:rPr>
          <w:rStyle w:val="VerbatimChar"/>
        </w:rPr>
        <w:t xml:space="preserve">datasets</w:t>
      </w:r>
      <w:r>
        <w:t xml:space="preserve">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adaptation-plan deliverable (</w:t>
      </w:r>
      <w:r>
        <w:rPr>
          <w:b/>
          <w:bCs/>
        </w:rPr>
        <w:t xml:space="preserve">50%</w:t>
      </w:r>
      <w:r>
        <w:t xml:space="preserve">); comparison lab (</w:t>
      </w:r>
      <w:r>
        <w:rPr>
          <w:b/>
          <w:bCs/>
        </w:rPr>
        <w:t xml:space="preserve">30%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pretrain vs. fine-tune vs. RAG; data licensing; base-model choice.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Medical LLMs</w:t>
      </w:r>
      <w:r>
        <w:t xml:space="preserve">;</w:t>
      </w:r>
      <w:r>
        <w:t xml:space="preserve"> </w:t>
      </w:r>
      <w:r>
        <w:rPr>
          <w:i/>
          <w:iCs/>
        </w:rPr>
        <w:t xml:space="preserve">Fine-tuning, alignment &amp; benchmarks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16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2026-08-02T21:04:40Z</dcterms:created>
  <dcterms:modified xsi:type="dcterms:W3CDTF">2026-08-02T21:04:40Z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