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83ac5062bda6bee529eb1f92f60036536c54a9"/>
    <w:p>
      <w:pPr>
        <w:pStyle w:val="Heading1"/>
      </w:pPr>
      <w:r>
        <w:t xml:space="preserve">Volume III · Chapter 13 — Vector Databases &amp; Knowledge Storage · Labs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Volume-III-Chapter-13-context.md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12.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explain embeddings storage and ANN search; use Chroma/FAISS (and know Weaviate/Pinecone); design metadata &amp; filtering; reason about where knowledge lives in hardware (RAM/NVMe) and how it scales.</w:t>
      </w:r>
    </w:p>
    <w:p>
      <w:pPr>
        <w:pStyle w:val="BodyText"/>
      </w:pPr>
      <w:r>
        <w:rPr>
          <w:b/>
          <w:bCs/>
        </w:rPr>
        <w:t xml:space="preserve">Labs (hands-on) — 12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13a</w:t>
            </w:r>
          </w:p>
        </w:tc>
        <w:tc>
          <w:tcPr/>
          <w:p>
            <w:pPr>
              <w:pStyle w:val="Compact"/>
            </w:pPr>
            <w:r>
              <w:t xml:space="preserve">Build &amp; query a Chroma collection with metadata filters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13b</w:t>
            </w:r>
          </w:p>
        </w:tc>
        <w:tc>
          <w:tcPr/>
          <w:p>
            <w:pPr>
              <w:pStyle w:val="Compact"/>
            </w:pPr>
            <w:r>
              <w:t xml:space="preserve">Compare FAISS index types (recall/speed)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13c</w:t>
            </w:r>
          </w:p>
        </w:tc>
        <w:tc>
          <w:tcPr/>
          <w:p>
            <w:pPr>
              <w:pStyle w:val="Compact"/>
            </w:pPr>
            <w:r>
              <w:t xml:space="preserve">Persist &amp; reload a vector store; measure memory footprint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13d</w:t>
            </w:r>
          </w:p>
        </w:tc>
        <w:tc>
          <w:tcPr/>
          <w:p>
            <w:pPr>
              <w:pStyle w:val="Compact"/>
            </w:pPr>
            <w:r>
              <w:t xml:space="preserve">Hybrid search: combine BM25 + vectors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Chroma, FAISS, Weaviate (optional); embeddings model.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vector-store lab (</w:t>
      </w:r>
      <w:r>
        <w:rPr>
          <w:b/>
          <w:bCs/>
        </w:rPr>
        <w:t xml:space="preserve">50%</w:t>
      </w:r>
      <w:r>
        <w:t xml:space="preserve">); benchmark report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which vector DB; index type vs. recall/latency; RAM vs. disk; managed vs. local.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RAG, vector databases &amp; local inference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  <w:jc w:val="both"/>
    </w:pPr>
    <w:rPr>
      <w:rFonts w:ascii="Arial" w:cs="Arial" w:eastAsia="Arial" w:hAnsi="Arial"/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left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left"/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jc w:val="left"/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jc w:val="left"/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jc w:val="left"/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jc w:val="left"/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2026-08-02T21:04:42Z</dcterms:created>
  <dcterms:modified xsi:type="dcterms:W3CDTF">2026-08-02T21:04:42Z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