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6cdfad7fb76282228745b45db11dd866e8b58c"/>
    <w:p>
      <w:pPr>
        <w:pStyle w:val="Heading1"/>
      </w:pPr>
      <w:r>
        <w:t xml:space="preserve">Volume III · Chapter 15 — Evaluation, Bias, Fairness &amp; Clinical Safety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design rigorous clinical evaluation; measure subgroup bias/fairness; assess calibration and safety (red-teaming); explain the benchmark-to-clinic gap; run clinician-in-the-loop evaluation.</w:t>
      </w:r>
    </w:p>
    <w:p>
      <w:pPr>
        <w:pStyle w:val="BodyText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15a</w:t>
            </w:r>
          </w:p>
        </w:tc>
        <w:tc>
          <w:tcPr/>
          <w:p>
            <w:pPr>
              <w:pStyle w:val="Compact"/>
            </w:pPr>
            <w:r>
              <w:t xml:space="preserve">Subgroup fairness analysis on a clinical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15b</w:t>
            </w:r>
          </w:p>
        </w:tc>
        <w:tc>
          <w:tcPr/>
          <w:p>
            <w:pPr>
              <w:pStyle w:val="Compact"/>
            </w:pPr>
            <w:r>
              <w:t xml:space="preserve">Calibration curves &amp; reliability diagrams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15c</w:t>
            </w:r>
          </w:p>
        </w:tc>
        <w:tc>
          <w:tcPr/>
          <w:p>
            <w:pPr>
              <w:pStyle w:val="Compact"/>
            </w:pPr>
            <w:r>
              <w:t xml:space="preserve">Red-team a medical LLM; catalog failure modes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15d</w:t>
            </w:r>
          </w:p>
        </w:tc>
        <w:tc>
          <w:tcPr/>
          <w:p>
            <w:pPr>
              <w:pStyle w:val="Compact"/>
            </w:pPr>
            <w:r>
              <w:t xml:space="preserve">Design a human-eval rubric &amp; run a mini study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, fairness libraries;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safety/fairness eval report (</w:t>
      </w:r>
      <w:r>
        <w:rPr>
          <w:b/>
          <w:bCs/>
        </w:rPr>
        <w:t xml:space="preserve">60%</w:t>
      </w:r>
      <w:r>
        <w:t xml:space="preserve">); red-team catalog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subgroups &amp; metrics; acceptable risk thresholds; when a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 to deploy.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2026-08-02T21:04:44Z</dcterms:created>
  <dcterms:modified xsi:type="dcterms:W3CDTF">2026-08-02T21:04:44Z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