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aa11b8999781c3165ab5056eecf707cbc94aee"/>
    <w:p>
      <w:pPr>
        <w:pStyle w:val="Heading1"/>
      </w:pPr>
      <w:r>
        <w:t xml:space="preserve">Volume III · Chapter 15 — Evaluation, Bias, Fairness &amp; Clinical Safety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Volume-III-Chapter-15-context.md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10, Ch 14.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design rigorous clinical evaluation; measure subgroup bias/fairness; assess calibration and safety (red-teaming); explain the benchmark-to-clinic gap; run clinician-in-the-loop evaluation.</w:t>
      </w:r>
    </w:p>
    <w:p>
      <w:pPr>
        <w:pStyle w:val="BodyText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Evaluation beyond accuracy: task-appropriate metrics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Bias &amp; fairness: subgroup analysis, disparate performance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Calibration &amp; uncertainty in clinical models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Safety: harmful outputs, refusal, red-teaming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Benchmark vs. clinical validity; prospective vs. retrospective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Human evaluation &amp; clinician-in-the-loop protocols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, fairness libraries;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safety/fairness eval report (</w:t>
      </w:r>
      <w:r>
        <w:rPr>
          <w:b/>
          <w:bCs/>
        </w:rPr>
        <w:t xml:space="preserve">60%</w:t>
      </w:r>
      <w:r>
        <w:t xml:space="preserve">); red-team catalog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subgroups &amp; metrics; acceptable risk thresholds; when a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safe to deploy.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2026-08-02T21:04:44Z</dcterms:created>
  <dcterms:modified xsi:type="dcterms:W3CDTF">2026-08-02T21:04:44Z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