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42b1243cca88ee91ad59b424bd9a0f5dcb070e"/>
    <w:p>
      <w:pPr>
        <w:pStyle w:val="Heading1"/>
      </w:pPr>
      <w:r>
        <w:t xml:space="preserve">Volume III · Chapter 16 — Deployment, FHIR Integration &amp; Compliance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Volume-III-Chapter-16-context.md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12, Ch 15, Ch 3.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deploy models locally (Ollama/Open WebUI); build an inference API; integrate via FHIR (read/write, SMART-on-FHIR); monitor performance/drift; navigate the regulatory/compliance landscape.</w:t>
      </w:r>
    </w:p>
    <w:p>
      <w:pPr>
        <w:pStyle w:val="BodyText"/>
      </w:pPr>
      <w:r>
        <w:rPr>
          <w:b/>
          <w:bCs/>
        </w:rPr>
        <w:t xml:space="preserve">Labs (hands-on) — 16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16a</w:t>
            </w:r>
          </w:p>
        </w:tc>
        <w:tc>
          <w:tcPr/>
          <w:p>
            <w:pPr>
              <w:pStyle w:val="Compact"/>
            </w:pPr>
            <w:r>
              <w:t xml:space="preserve">Deploy a model with Ollama + Open WebUI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16b</w:t>
            </w:r>
          </w:p>
        </w:tc>
        <w:tc>
          <w:tcPr/>
          <w:p>
            <w:pPr>
              <w:pStyle w:val="Compact"/>
            </w:pPr>
            <w:r>
              <w:t xml:space="preserve">Wrap the model in a REST inference API (FastAPI)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16c</w:t>
            </w:r>
          </w:p>
        </w:tc>
        <w:tc>
          <w:tcPr/>
          <w:p>
            <w:pPr>
              <w:pStyle w:val="Compact"/>
            </w:pPr>
            <w:r>
              <w:t xml:space="preserve">FHIR integration: read patient context, write results back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16d</w:t>
            </w:r>
          </w:p>
        </w:tc>
        <w:tc>
          <w:tcPr/>
          <w:p>
            <w:pPr>
              <w:pStyle w:val="Compact"/>
            </w:pPr>
            <w:r>
              <w:t xml:space="preserve">Add monitoring/logging &amp; a drift check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Ollama, Open WebUI, FastAPI, HAPI FHIR/Synthea; monitoring tools.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deployed FHIR-integrated service (</w:t>
      </w:r>
      <w:r>
        <w:rPr>
          <w:b/>
          <w:bCs/>
        </w:rPr>
        <w:t xml:space="preserve">60%</w:t>
      </w:r>
      <w:r>
        <w:t xml:space="preserve">); monitoring setup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local vs. cloud; API design; regulatory pathway; PHI handling at inference.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…local inference</w:t>
      </w:r>
      <w:r>
        <w:t xml:space="preserve">;</w:t>
      </w:r>
      <w:r>
        <w:t xml:space="preserve"> </w:t>
      </w:r>
      <w:r>
        <w:rPr>
          <w:i/>
          <w:iCs/>
        </w:rPr>
        <w:t xml:space="preserve">Interoperability standards</w:t>
      </w:r>
      <w:r>
        <w:t xml:space="preserve">;</w:t>
      </w:r>
      <w:r>
        <w:t xml:space="preserve"> </w:t>
      </w:r>
      <w:r>
        <w:rPr>
          <w:i/>
          <w:iCs/>
        </w:rPr>
        <w:t xml:space="preserve">Clinical data, code sets &amp; privacy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26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2026-08-02T21:04:45Z</dcterms:created>
  <dcterms:modified xsi:type="dcterms:W3CDTF">2026-08-02T21:04:45Z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