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23966643adfe0690fb1563f4a741b13b9fad57"/>
    <w:p>
      <w:pPr>
        <w:pStyle w:val="Heading1"/>
      </w:pPr>
      <w:r>
        <w:t xml:space="preserve">Volume III · Chapter 16 — Deployment, FHIR Integration &amp; Compliance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Volume-III-Chapter-16-context.md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12, Ch 15, Ch 3.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deploy models locally (Ollama/Open WebUI); build an inference API; integrate via FHIR (read/write, SMART-on-FHIR); monitor performance/drift; navigate the regulatory/compliance landscape.</w:t>
      </w:r>
    </w:p>
    <w:p>
      <w:pPr>
        <w:pStyle w:val="BodyText"/>
      </w:pPr>
      <w:r>
        <w:rPr>
          <w:b/>
          <w:bCs/>
        </w:rPr>
        <w:t xml:space="preserve">Topics (theory)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Deployment options: local serving, Ollama, Open WebUI, APIs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Inference serving: latency, batching, quantization, scaling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FHIR integration &amp; SMART-on-FHIR app model (read/write)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  <w:r>
              <w:t xml:space="preserve">Monitoring, logging, drift &amp; feedback loops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Regulatory &amp; compliance landscape (SaMD, FDA/CE, HIPAA/GDPR at deployment)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Ollama, Open WebUI, FastAPI, HAPI FHIR/Synthea; monitoring tools.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deployed FHIR-integrated service (</w:t>
      </w:r>
      <w:r>
        <w:rPr>
          <w:b/>
          <w:bCs/>
        </w:rPr>
        <w:t xml:space="preserve">60%</w:t>
      </w:r>
      <w:r>
        <w:t xml:space="preserve">); monitoring setup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local vs. cloud; API design; regulatory pathway; PHI handling at inference.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…local inference</w:t>
      </w:r>
      <w:r>
        <w:t xml:space="preserve">;</w:t>
      </w:r>
      <w:r>
        <w:t xml:space="preserve"> </w:t>
      </w:r>
      <w:r>
        <w:rPr>
          <w:i/>
          <w:iCs/>
        </w:rPr>
        <w:t xml:space="preserve">Interoperability standards</w:t>
      </w:r>
      <w:r>
        <w:t xml:space="preserve">;</w:t>
      </w:r>
      <w:r>
        <w:t xml:space="preserve"> </w:t>
      </w:r>
      <w:r>
        <w:rPr>
          <w:i/>
          <w:iCs/>
        </w:rPr>
        <w:t xml:space="preserve">Clinical data, code sets &amp; privacy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2026-08-02T21:04:45Z</dcterms:created>
  <dcterms:modified xsi:type="dcterms:W3CDTF">2026-08-02T21:04:45Z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