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a55a8cb8be0a0cde85a89f44b831a129810857"/>
    <w:p>
      <w:pPr>
        <w:pStyle w:val="Heading1"/>
      </w:pPr>
      <w:r>
        <w:t xml:space="preserve">Volume III · Chapter 17 — Capstone Project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Volume-III-Chapter-17-context.md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all of Volumes I–III.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independently design, build, evaluate, and deploy an end-to-end medical-AI system for a real clinical problem; document decisions and safety; present with evidence to clinical stakeholders.</w:t>
      </w:r>
    </w:p>
    <w:p>
      <w:pPr>
        <w:pStyle w:val="BodyText"/>
      </w:pPr>
      <w:r>
        <w:rPr>
          <w:b/>
          <w:bCs/>
        </w:rPr>
        <w:t xml:space="preserve">Project (hands-on) — 60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17a</w:t>
            </w:r>
          </w:p>
        </w:tc>
        <w:tc>
          <w:tcPr/>
          <w:p>
            <w:pPr>
              <w:pStyle w:val="Compact"/>
            </w:pPr>
            <w:r>
              <w:t xml:space="preserve">Problem definition &amp; data/knowledge sourcing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17b</w:t>
            </w:r>
          </w:p>
        </w:tc>
        <w:tc>
          <w:tcPr/>
          <w:p>
            <w:pPr>
              <w:pStyle w:val="Compact"/>
            </w:pPr>
            <w:r>
              <w:t xml:space="preserve">Build knowledge base / RAG pipeline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17c</w:t>
            </w:r>
          </w:p>
        </w:tc>
        <w:tc>
          <w:tcPr/>
          <w:p>
            <w:pPr>
              <w:pStyle w:val="Compact"/>
            </w:pPr>
            <w:r>
              <w:t xml:space="preserve">Train/adapt the model (QLoRA/DPO as needed)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17d</w:t>
            </w:r>
          </w:p>
        </w:tc>
        <w:tc>
          <w:tcPr/>
          <w:p>
            <w:pPr>
              <w:pStyle w:val="Compact"/>
            </w:pPr>
            <w:r>
              <w:t xml:space="preserve">Evaluation &amp; safety/fairness assessment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17e</w:t>
            </w:r>
          </w:p>
        </w:tc>
        <w:tc>
          <w:tcPr/>
          <w:p>
            <w:pPr>
              <w:pStyle w:val="Compact"/>
            </w:pPr>
            <w:r>
              <w:t xml:space="preserve">Deploy locally with FHIR-style I/O (inference server)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17f</w:t>
            </w:r>
          </w:p>
        </w:tc>
        <w:tc>
          <w:tcPr/>
          <w:p>
            <w:pPr>
              <w:pStyle w:val="Compact"/>
            </w:pPr>
            <w:r>
              <w:t xml:space="preserve">Documentation, model card &amp; final presentation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project:</w:t>
      </w:r>
      <w:r>
        <w:t xml:space="preserve"> </w:t>
      </w:r>
      <w:r>
        <w:t xml:space="preserve">"Clinical Trial Matching Assistant" (plan §5.2).</w:t>
      </w:r>
      <w:r>
        <w:t xml:space="preserve"> </w:t>
      </w:r>
      <w:r>
        <w:rPr>
          <w:b/>
          <w:bCs/>
        </w:rPr>
        <w:t xml:space="preserve">Datasets/tools:</w:t>
      </w:r>
      <w:r>
        <w:t xml:space="preserve"> </w:t>
      </w:r>
      <w:r>
        <w:t xml:space="preserve">the full stack from Volumes I–III.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end-to-end system (</w:t>
      </w:r>
      <w:r>
        <w:rPr>
          <w:b/>
          <w:bCs/>
        </w:rPr>
        <w:t xml:space="preserve">50%</w:t>
      </w:r>
      <w:r>
        <w:t xml:space="preserve">); evaluation &amp; safety documentation (</w:t>
      </w:r>
      <w:r>
        <w:rPr>
          <w:b/>
          <w:bCs/>
        </w:rPr>
        <w:t xml:space="preserve">25%</w:t>
      </w:r>
      <w:r>
        <w:t xml:space="preserve">); presentation/defense (</w:t>
      </w:r>
      <w:r>
        <w:rPr>
          <w:b/>
          <w:bCs/>
        </w:rPr>
        <w:t xml:space="preserve">25%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the full stack of trade-offs — RAG vs. fine-tune, hardware, scope vs. safety.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§5.2; §13 (all).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+ Project</w:t>
      </w:r>
      <w:r>
        <w:t xml:space="preserve"> </w:t>
      </w:r>
      <w:r>
        <w:rPr>
          <w:b/>
          <w:bCs/>
        </w:rPr>
        <w:t xml:space="preserve">60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66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2026-08-02T21:04:46Z</dcterms:created>
  <dcterms:modified xsi:type="dcterms:W3CDTF">2026-08-02T21:04:46Z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