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d6b4b4c6fff1e043f5dee196ff5ad4b4bdfb311"/>
    <w:p>
      <w:pPr>
        <w:pStyle w:val="Heading1"/>
      </w:pPr>
      <w:r>
        <w:t xml:space="preserve">Volume III · Chapter 17 — Capstone Project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Volume-III-Chapter-17-context.md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all of Volumes I–III.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independently design, build, evaluate, and deploy an end-to-end medical-AI system for a real clinical problem; document decisions and safety; present with evidence to clinical stakeholders.</w:t>
      </w:r>
    </w:p>
    <w:p>
      <w:pPr>
        <w:pStyle w:val="BodyText"/>
      </w:pPr>
      <w:r>
        <w:rPr>
          <w:b/>
          <w:bCs/>
        </w:rPr>
        <w:t xml:space="preserve">Topics (theory) — 6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17.1</w:t>
            </w:r>
          </w:p>
        </w:tc>
        <w:tc>
          <w:tcPr/>
          <w:p>
            <w:pPr>
              <w:pStyle w:val="Compact"/>
            </w:pPr>
            <w:r>
              <w:t xml:space="preserve">Scoping a clinical AI problem; requirements &amp; success metrics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17.2</w:t>
            </w:r>
          </w:p>
        </w:tc>
        <w:tc>
          <w:tcPr/>
          <w:p>
            <w:pPr>
              <w:pStyle w:val="Compact"/>
            </w:pPr>
            <w:r>
              <w:t xml:space="preserve">Project planning, data &amp; licensing, risk/safety plan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17.3</w:t>
            </w:r>
          </w:p>
        </w:tc>
        <w:tc>
          <w:tcPr/>
          <w:p>
            <w:pPr>
              <w:pStyle w:val="Compact"/>
            </w:pPr>
            <w:r>
              <w:t xml:space="preserve">Documentation, model cards &amp; presenting to clinical stakeholders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project:</w:t>
      </w:r>
      <w:r>
        <w:t xml:space="preserve"> </w:t>
      </w:r>
      <w:r>
        <w:t xml:space="preserve">"Clinical Trial Matching Assistant" (plan §5.2).</w:t>
      </w:r>
      <w:r>
        <w:t xml:space="preserve"> </w:t>
      </w:r>
      <w:r>
        <w:rPr>
          <w:b/>
          <w:bCs/>
        </w:rPr>
        <w:t xml:space="preserve">Datasets/tools:</w:t>
      </w:r>
      <w:r>
        <w:t xml:space="preserve"> </w:t>
      </w:r>
      <w:r>
        <w:t xml:space="preserve">the full stack from Volumes I–III.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end-to-end system (</w:t>
      </w:r>
      <w:r>
        <w:rPr>
          <w:b/>
          <w:bCs/>
        </w:rPr>
        <w:t xml:space="preserve">50%</w:t>
      </w:r>
      <w:r>
        <w:t xml:space="preserve">); evaluation &amp; safety documentation (</w:t>
      </w:r>
      <w:r>
        <w:rPr>
          <w:b/>
          <w:bCs/>
        </w:rPr>
        <w:t xml:space="preserve">25%</w:t>
      </w:r>
      <w:r>
        <w:t xml:space="preserve">); presentation/defense (</w:t>
      </w:r>
      <w:r>
        <w:rPr>
          <w:b/>
          <w:bCs/>
        </w:rPr>
        <w:t xml:space="preserve">25%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the full stack of trade-offs — RAG vs. fine-tune, hardware, scope vs. safety.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§5.2; §13 (all).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+ Project</w:t>
      </w:r>
      <w:r>
        <w:t xml:space="preserve"> </w:t>
      </w:r>
      <w:r>
        <w:rPr>
          <w:b/>
          <w:bCs/>
        </w:rPr>
        <w:t xml:space="preserve">60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66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2026-08-02T21:04:46Z</dcterms:created>
  <dcterms:modified xsi:type="dcterms:W3CDTF">2026-08-02T21:04:46Z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