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d4eea315f2760327e0377976b7af74de05b041"/>
    <w:p>
      <w:pPr>
        <w:pStyle w:val="Heading1"/>
      </w:pPr>
      <w:r>
        <w:t xml:space="preserve">Volume IV · Chapter 18 — Ingestion, OCR &amp; Document Understanding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Volume-IV-Chapter-18-context.md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5, Ch 12.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parse born-digital and scanned medical books; run OCR handling medical vocabulary; extract layout/structure (sections, tables, references); build a clean, provenance-tagged text corpus.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</w:t>
            </w:r>
          </w:p>
        </w:tc>
        <w:tc>
          <w:tcPr/>
          <w:p>
            <w:pPr>
              <w:pStyle w:val="Compact"/>
            </w:pPr>
            <w:r>
              <w:t xml:space="preserve">Document types &amp; challenges: PDFs, scans, layout, columns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18.2</w:t>
            </w:r>
          </w:p>
        </w:tc>
        <w:tc>
          <w:tcPr/>
          <w:p>
            <w:pPr>
              <w:pStyle w:val="Compact"/>
            </w:pPr>
            <w:r>
              <w:t xml:space="preserve">OCR fundamentals &amp; medical-text pitfalls (terms, dosages, tables)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18.3</w:t>
            </w:r>
          </w:p>
        </w:tc>
        <w:tc>
          <w:tcPr/>
          <w:p>
            <w:pPr>
              <w:pStyle w:val="Compact"/>
            </w:pPr>
            <w:r>
              <w:t xml:space="preserve">Layout analysis &amp; structure extraction (sections, headings, refs)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18.4</w:t>
            </w:r>
          </w:p>
        </w:tc>
        <w:tc>
          <w:tcPr/>
          <w:p>
            <w:pPr>
              <w:pStyle w:val="Compact"/>
            </w:pPr>
            <w:r>
              <w:t xml:space="preserve">Tables, equations &amp; footnotes; reading order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Provenance &amp; metadata capture during ingestion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licensed/open medical texts; PyMuPDF, Tesseract, unstructured/Nougat/Marker.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ingestion pipeline + corpus (</w:t>
      </w:r>
      <w:r>
        <w:rPr>
          <w:b/>
          <w:bCs/>
        </w:rPr>
        <w:t xml:space="preserve">60%</w:t>
      </w:r>
      <w:r>
        <w:t xml:space="preserve">); OCR-quality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born-digital vs. scanned handling; OCR engine; how much structure to preserve;</w:t>
      </w:r>
      <w:r>
        <w:t xml:space="preserve"> </w:t>
      </w:r>
      <w:r>
        <w:rPr>
          <w:b/>
          <w:bCs/>
        </w:rPr>
        <w:t xml:space="preserve">licensing (owned/licensed sources only)</w:t>
      </w:r>
      <w:r>
        <w:t xml:space="preserve">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§6; §13.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22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2026-08-02T21:04:47Z</dcterms:created>
  <dcterms:modified xsi:type="dcterms:W3CDTF">2026-08-02T21:04:47Z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