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83b89f1d52703b1d644dc6d6701ec972bd4cbfc"/>
    <w:p>
      <w:pPr>
        <w:pStyle w:val="Heading1"/>
      </w:pPr>
      <w:r>
        <w:t xml:space="preserve">Volume IV · Chapter 20 — Structuring, Provenance &amp; Building the Corpus · Labs</w:t>
      </w:r>
    </w:p>
    <w:p>
      <w:pPr>
        <w:pStyle w:val="BlockText"/>
      </w:pPr>
      <w:r>
        <w:t xml:space="preserve">Source: split from</w:t>
      </w:r>
      <w:r>
        <w:t xml:space="preserve"> </w:t>
      </w:r>
      <w:r>
        <w:rPr>
          <w:rStyle w:val="VerbatimChar"/>
        </w:rPr>
        <w:t xml:space="preserve">med-tech-curriculum-V1.md</w:t>
      </w:r>
      <w:r>
        <w:t xml:space="preserve"> </w:t>
      </w:r>
      <w:r>
        <w:t xml:space="preserve">(V1). From this split onward this chapter is maintained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here. See</w:t>
      </w:r>
      <w:r>
        <w:t xml:space="preserve"> </w:t>
      </w:r>
      <w:r>
        <w:rPr>
          <w:rStyle w:val="VerbatimChar"/>
        </w:rPr>
        <w:t xml:space="preserve">Volume-IV-Chapter-20-context.md</w:t>
      </w:r>
      <w:r>
        <w:t xml:space="preserve"> </w:t>
      </w:r>
      <w:r>
        <w:t xml:space="preserve">for the AI interaction log.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18, Ch 19.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semantically chunk book content; attach citations/provenance; build a versioned, updatable knowledge base; manage licensing/governance of sources.</w:t>
      </w:r>
    </w:p>
    <w:p>
      <w:pPr>
        <w:pStyle w:val="BodyText"/>
      </w:pPr>
      <w:r>
        <w:rPr>
          <w:b/>
          <w:bCs/>
        </w:rPr>
        <w:t xml:space="preserve">Labs (hands-on) — 12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20a</w:t>
            </w:r>
          </w:p>
        </w:tc>
        <w:tc>
          <w:tcPr/>
          <w:p>
            <w:pPr>
              <w:pStyle w:val="Compact"/>
            </w:pPr>
            <w:r>
              <w:t xml:space="preserve">Build a semantic chunker with citation metadata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20b</w:t>
            </w:r>
          </w:p>
        </w:tc>
        <w:tc>
          <w:tcPr/>
          <w:p>
            <w:pPr>
              <w:pStyle w:val="Compact"/>
            </w:pPr>
            <w:r>
              <w:t xml:space="preserve">Assemble a versioned knowledge base (text + figures)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20c</w:t>
            </w:r>
          </w:p>
        </w:tc>
        <w:tc>
          <w:tcPr/>
          <w:p>
            <w:pPr>
              <w:pStyle w:val="Compact"/>
            </w:pPr>
            <w:r>
              <w:t xml:space="preserve">Implement citation-traceable retrieval (answer → source page)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vector DB; chunking libraries; a metadata store.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cited knowledge base (</w:t>
      </w:r>
      <w:r>
        <w:rPr>
          <w:b/>
          <w:bCs/>
        </w:rPr>
        <w:t xml:space="preserve">60%</w:t>
      </w:r>
      <w:r>
        <w:t xml:space="preserve">); provenance audit (</w:t>
      </w:r>
      <w:r>
        <w:rPr>
          <w:b/>
          <w:bCs/>
        </w:rPr>
        <w:t xml:space="preserve">20%</w:t>
      </w:r>
      <w:r>
        <w:t xml:space="preserve">); quiz (</w:t>
      </w:r>
      <w:r>
        <w:rPr>
          <w:b/>
          <w:bCs/>
        </w:rPr>
        <w:t xml:space="preserve">20%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chunk granularity; provenance schema; licensing compliance; update strategy.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§6; §13 →</w:t>
      </w:r>
      <w:r>
        <w:t xml:space="preserve"> </w:t>
      </w:r>
      <w:r>
        <w:rPr>
          <w:i/>
          <w:iCs/>
        </w:rPr>
        <w:t xml:space="preserve">RAG…</w:t>
      </w:r>
      <w:r>
        <w:t xml:space="preserve">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6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12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18</w:t>
      </w:r>
      <w:r>
        <w:t xml:space="preserve">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zh-CN" w:val="en-US"/>
      </w:rPr>
    </w:rPrDefault>
    <w:pPrDefault>
      <w:pPr>
        <w:spacing w:after="20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  <w:jc w:val="both"/>
    </w:pPr>
    <w:rPr>
      <w:rFonts w:ascii="Arial" w:cs="Arial" w:eastAsia="Arial" w:hAnsi="Arial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jc w:val="left"/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jc w:val="left"/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jc w:val="left"/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jc w:val="left"/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2026-08-02T21:04:49Z</dcterms:created>
  <dcterms:modified xsi:type="dcterms:W3CDTF">2026-08-02T21:04:49Z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