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dc125d9b5598d9a3dc4c9f6f04efdf0af333a2a"/>
    <w:p>
      <w:pPr>
        <w:pStyle w:val="Heading1"/>
      </w:pPr>
      <w:r>
        <w:t xml:space="preserve">Volume IV · Chapter 20 — Structuring, Provenance &amp; Building the Corpus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Volume-IV-Chapter-20-context.md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18, Ch 19.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semantically chunk book content; attach citations/provenance; build a versioned, updatable knowledge base; manage licensing/governance of sources.</w:t>
      </w:r>
    </w:p>
    <w:p>
      <w:pPr>
        <w:pStyle w:val="BodyText"/>
      </w:pPr>
      <w:r>
        <w:rPr>
          <w:b/>
          <w:bCs/>
        </w:rPr>
        <w:t xml:space="preserve">Topics (theory) — 6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20.1</w:t>
            </w:r>
          </w:p>
        </w:tc>
        <w:tc>
          <w:tcPr/>
          <w:p>
            <w:pPr>
              <w:pStyle w:val="Compact"/>
            </w:pPr>
            <w:r>
              <w:t xml:space="preserve">Semantic chunking for books/atlases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20.2</w:t>
            </w:r>
          </w:p>
        </w:tc>
        <w:tc>
          <w:tcPr/>
          <w:p>
            <w:pPr>
              <w:pStyle w:val="Compact"/>
            </w:pPr>
            <w:r>
              <w:t xml:space="preserve">Provenance model: book/edition/page/figure citations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20.3</w:t>
            </w:r>
          </w:p>
        </w:tc>
        <w:tc>
          <w:tcPr/>
          <w:p>
            <w:pPr>
              <w:pStyle w:val="Compact"/>
            </w:pPr>
            <w:r>
              <w:t xml:space="preserve">Versioning &amp; updatability of medical knowledge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20.4</w:t>
            </w:r>
          </w:p>
        </w:tc>
        <w:tc>
          <w:tcPr/>
          <w:p>
            <w:pPr>
              <w:pStyle w:val="Compact"/>
            </w:pPr>
            <w:r>
              <w:t xml:space="preserve">Licensing, ownership &amp; governance of source content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vector DB; chunking libraries; a metadata store.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cited knowledge base (</w:t>
      </w:r>
      <w:r>
        <w:rPr>
          <w:b/>
          <w:bCs/>
        </w:rPr>
        <w:t xml:space="preserve">60%</w:t>
      </w:r>
      <w:r>
        <w:t xml:space="preserve">); provenance audit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chunk granularity; provenance schema; licensing compliance; update strategy.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§6; §13 →</w:t>
      </w:r>
      <w:r>
        <w:t xml:space="preserve"> </w:t>
      </w:r>
      <w:r>
        <w:rPr>
          <w:i/>
          <w:iCs/>
        </w:rPr>
        <w:t xml:space="preserve">RAG…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18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2026-08-02T21:04:49Z</dcterms:created>
  <dcterms:modified xsi:type="dcterms:W3CDTF">2026-08-02T21:04:49Z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