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59cad1ac03cfd763d92ecf91998fbd247b3d63b"/>
    <w:p>
      <w:pPr>
        <w:pStyle w:val="Heading1"/>
      </w:pPr>
      <w:r>
        <w:t xml:space="preserve">Volume IV · Chapter 22 — State of the Art &amp; Evaluation (text/image/video) · Labs</w:t>
      </w:r>
    </w:p>
    <w:p>
      <w:pPr>
        <w:pStyle w:val="BlockText"/>
      </w:pPr>
      <w:r>
        <w:t xml:space="preserve">Source: split from</w:t>
      </w:r>
      <w:r>
        <w:t xml:space="preserve"> </w:t>
      </w:r>
      <w:r>
        <w:rPr>
          <w:rStyle w:val="VerbatimChar"/>
        </w:rPr>
        <w:t xml:space="preserve">med-tech-curriculum-V1.md</w:t>
      </w:r>
      <w:r>
        <w:t xml:space="preserve"> </w:t>
      </w:r>
      <w:r>
        <w:t xml:space="preserve">(V1). From this split onward this chapter is maintained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here. See</w:t>
      </w:r>
      <w:r>
        <w:t xml:space="preserve"> </w:t>
      </w:r>
      <w:r>
        <w:rPr>
          <w:rStyle w:val="VerbatimChar"/>
        </w:rPr>
        <w:t xml:space="preserve">Volume-IV-Chapter-22-context.md</w:t>
      </w:r>
      <w:r>
        <w:t xml:space="preserve"> </w:t>
      </w:r>
      <w:r>
        <w:t xml:space="preserve">for the AI interaction log.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10, Ch 15, Ch 19.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  <w:r>
        <w:t xml:space="preserve"> </w:t>
      </w:r>
      <w:r>
        <w:t xml:space="preserve">survey current medical LLM/multimodal/video SOTA honestly; design evaluation for book-derived models; assess source-fidelity and citation correctness; articulate maturity gaps.</w:t>
      </w:r>
    </w:p>
    <w:p>
      <w:pPr>
        <w:pStyle w:val="BodyText"/>
      </w:pPr>
      <w:r>
        <w:rPr>
          <w:b/>
          <w:bCs/>
        </w:rPr>
        <w:t xml:space="preserve">Labs (hands-on) — 6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22a</w:t>
            </w:r>
          </w:p>
        </w:tc>
        <w:tc>
          <w:tcPr/>
          <w:p>
            <w:pPr>
              <w:pStyle w:val="Compact"/>
            </w:pPr>
            <w:r>
              <w:t xml:space="preserve">Fidelity eval: does the model's answer match the source book?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22b</w:t>
            </w:r>
          </w:p>
        </w:tc>
        <w:tc>
          <w:tcPr/>
          <w:p>
            <w:pPr>
              <w:pStyle w:val="Compact"/>
            </w:pPr>
            <w:r>
              <w:t xml:space="preserve">Citation-correctness scoring on RAG answers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eval harness; the RAG/fine-tuned models built in Volume IV.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SOTA briefing + fidelity eval (</w:t>
      </w:r>
      <w:r>
        <w:rPr>
          <w:b/>
          <w:bCs/>
        </w:rPr>
        <w:t xml:space="preserve">60%</w:t>
      </w:r>
      <w:r>
        <w:t xml:space="preserve">); citation-accuracy report (</w:t>
      </w:r>
      <w:r>
        <w:rPr>
          <w:b/>
          <w:bCs/>
        </w:rPr>
        <w:t xml:space="preserve">20%</w:t>
      </w:r>
      <w:r>
        <w:t xml:space="preserve">); quiz (</w:t>
      </w:r>
      <w:r>
        <w:rPr>
          <w:b/>
          <w:bCs/>
        </w:rPr>
        <w:t xml:space="preserve">20%</w:t>
      </w:r>
      <w:r>
        <w:t xml:space="preserve">).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t xml:space="preserve">honest capability claims; which modality is production-ready; how to report limits.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plan §6.3; §13 →</w:t>
      </w:r>
      <w:r>
        <w:t xml:space="preserve"> </w:t>
      </w:r>
      <w:r>
        <w:rPr>
          <w:i/>
          <w:iCs/>
        </w:rPr>
        <w:t xml:space="preserve">Medical LLMs</w:t>
      </w:r>
      <w:r>
        <w:t xml:space="preserve">.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6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14</w:t>
      </w:r>
      <w:r>
        <w:t xml:space="preserve">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zh-CN" w:val="en-US"/>
      </w:rPr>
    </w:rPrDefault>
    <w:pPrDefault>
      <w:pPr>
        <w:spacing w:after="20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  <w:jc w:val="both"/>
    </w:pPr>
    <w:rPr>
      <w:rFonts w:ascii="Arial" w:cs="Arial" w:eastAsia="Arial" w:hAnsi="Arial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jc w:val="left"/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jc w:val="left"/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jc w:val="left"/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jc w:val="left"/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jc w:val="left"/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jc w:val="left"/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jc w:val="left"/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jc w:val="left"/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2026-08-02T21:04:51Z</dcterms:created>
  <dcterms:modified xsi:type="dcterms:W3CDTF">2026-08-02T21:04:51Z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