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2b1ecb37dd698be924326d55f4cefa6d80b67f"/>
    <w:p>
      <w:pPr>
        <w:pStyle w:val="Heading1"/>
      </w:pPr>
      <w:r>
        <w:t xml:space="preserve">Volume V · Chapter 24 — Perception for Clinical/Surgical Scenes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Volume-V-Chapter-24-context.md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23; Ch 6–7 (vision-capable models).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apply computer vision to surgical/clinical scenes; segment/track instruments &amp; anatomy; estimate depth/pose; integrate perception into a robot loop (in simulation).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CV for surgical scenes: occlusion, lighting, deformation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Segmentation &amp; instrument tracking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Depth &amp; pose estimation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Integrating perception into control (perception→action)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OpenCV, segmentation models; the simulator.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perception pipeline (</w:t>
      </w:r>
      <w:r>
        <w:rPr>
          <w:b/>
          <w:bCs/>
        </w:rPr>
        <w:t xml:space="preserve">60%</w:t>
      </w:r>
      <w:r>
        <w:t xml:space="preserve">); tracking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model choice vs. latency; sim-to-real gap;</w:t>
      </w:r>
      <w:r>
        <w:t xml:space="preserve"> </w:t>
      </w:r>
      <w:r>
        <w:rPr>
          <w:b/>
          <w:bCs/>
        </w:rPr>
        <w:t xml:space="preserve">safety of perception errors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 </w:t>
      </w:r>
      <w:r>
        <w:t xml:space="preserve">(vision).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2026-08-02T21:04:53Z</dcterms:created>
  <dcterms:modified xsi:type="dcterms:W3CDTF">2026-08-02T21:04:53Z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