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259908851e73779d221c1c76b1ceba18cd793ca"/>
    <w:p>
      <w:pPr>
        <w:pStyle w:val="Heading1"/>
      </w:pPr>
      <w:r>
        <w:t xml:space="preserve">Volume V · Chapter 25 — Learning for Control (Imitation/RL, sim-to-real) · Theory</w:t>
      </w:r>
    </w:p>
    <w:p>
      <w:pPr>
        <w:pStyle w:val="BlockText"/>
      </w:pPr>
      <w:r>
        <w:t xml:space="preserve">Source: split from</w:t>
      </w:r>
      <w:r>
        <w:t xml:space="preserve"> </w:t>
      </w:r>
      <w:r>
        <w:rPr>
          <w:rStyle w:val="VerbatimChar"/>
        </w:rPr>
        <w:t xml:space="preserve">med-tech-curriculum-V1.md</w:t>
      </w:r>
      <w:r>
        <w:t xml:space="preserve"> </w:t>
      </w:r>
      <w:r>
        <w:t xml:space="preserve">(V1). From this split onward this chapter is maintained</w:t>
      </w:r>
      <w:r>
        <w:t xml:space="preserve"> </w:t>
      </w:r>
      <w:r>
        <w:rPr>
          <w:b/>
          <w:bCs/>
        </w:rPr>
        <w:t xml:space="preserve">independently</w:t>
      </w:r>
      <w:r>
        <w:t xml:space="preserve"> </w:t>
      </w:r>
      <w:r>
        <w:t xml:space="preserve">here. See</w:t>
      </w:r>
      <w:r>
        <w:t xml:space="preserve"> </w:t>
      </w:r>
      <w:r>
        <w:rPr>
          <w:rStyle w:val="VerbatimChar"/>
        </w:rPr>
        <w:t xml:space="preserve">Volume-V-Chapter-25-context.md</w:t>
      </w:r>
      <w:r>
        <w:t xml:space="preserve"> </w:t>
      </w:r>
      <w:r>
        <w:t xml:space="preserve">for the AI interaction log.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Ch 23, Ch 24.</w:t>
      </w:r>
    </w:p>
    <w:p>
      <w:pPr>
        <w:pStyle w:val="BodyText"/>
      </w:pPr>
      <w:r>
        <w:rPr>
          <w:b/>
          <w:bCs/>
        </w:rPr>
        <w:t xml:space="preserve">Learning outcomes — the student can:</w:t>
      </w:r>
      <w:r>
        <w:t xml:space="preserve"> </w:t>
      </w:r>
      <w:r>
        <w:t xml:space="preserve">explain imitation learning &amp; RL for control; train a policy in simulation; reason about sim-to-real transfer and its risks; apply safety constraints/shields.</w:t>
      </w:r>
    </w:p>
    <w:p>
      <w:pPr>
        <w:pStyle w:val="BodyText"/>
      </w:pPr>
      <w:r>
        <w:rPr>
          <w:b/>
          <w:bCs/>
        </w:rPr>
        <w:t xml:space="preserve">Topics (theory) — 10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25.1</w:t>
            </w:r>
          </w:p>
        </w:tc>
        <w:tc>
          <w:tcPr/>
          <w:p>
            <w:pPr>
              <w:pStyle w:val="Compact"/>
            </w:pPr>
            <w:r>
              <w:t xml:space="preserve">Control paradigms: classical vs. learned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25.2</w:t>
            </w:r>
          </w:p>
        </w:tc>
        <w:tc>
          <w:tcPr/>
          <w:p>
            <w:pPr>
              <w:pStyle w:val="Compact"/>
            </w:pPr>
            <w:r>
              <w:t xml:space="preserve">Imitation learning (behavioral cloning)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25.3</w:t>
            </w:r>
          </w:p>
        </w:tc>
        <w:tc>
          <w:tcPr/>
          <w:p>
            <w:pPr>
              <w:pStyle w:val="Compact"/>
            </w:pPr>
            <w:r>
              <w:t xml:space="preserve">Reinforcement learning basics for control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25.4</w:t>
            </w:r>
          </w:p>
        </w:tc>
        <w:tc>
          <w:tcPr/>
          <w:p>
            <w:pPr>
              <w:pStyle w:val="Compact"/>
            </w:pPr>
            <w:r>
              <w:t xml:space="preserve">Sim-to-real transfer: domain randomization, gaps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25.5</w:t>
            </w:r>
          </w:p>
        </w:tc>
        <w:tc>
          <w:tcPr/>
          <w:p>
            <w:pPr>
              <w:pStyle w:val="Compact"/>
            </w:pPr>
            <w:r>
              <w:t xml:space="preserve">Safety constraints &amp; constrained policies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Datasets/tools:</w:t>
      </w:r>
      <w:r>
        <w:t xml:space="preserve"> </w:t>
      </w:r>
      <w:r>
        <w:t xml:space="preserve">RL libraries (Stable-Baselines3 / Isaac Gym); the simulator.</w:t>
      </w:r>
      <w:r>
        <w:t xml:space="preserve"> </w:t>
      </w:r>
      <w:r>
        <w:rPr>
          <w:b/>
          <w:bCs/>
        </w:rPr>
        <w:t xml:space="preserve">Assessment:</w:t>
      </w:r>
      <w:r>
        <w:t xml:space="preserve"> </w:t>
      </w:r>
      <w:r>
        <w:t xml:space="preserve">trained policy (</w:t>
      </w:r>
      <w:r>
        <w:rPr>
          <w:b/>
          <w:bCs/>
        </w:rPr>
        <w:t xml:space="preserve">60%</w:t>
      </w:r>
      <w:r>
        <w:t xml:space="preserve">); sim-to-real analysis (</w:t>
      </w:r>
      <w:r>
        <w:rPr>
          <w:b/>
          <w:bCs/>
        </w:rPr>
        <w:t xml:space="preserve">20%</w:t>
      </w:r>
      <w:r>
        <w:t xml:space="preserve">); quiz (</w:t>
      </w:r>
      <w:r>
        <w:rPr>
          <w:b/>
          <w:bCs/>
        </w:rPr>
        <w:t xml:space="preserve">20%</w:t>
      </w:r>
      <w:r>
        <w:t xml:space="preserve">).</w:t>
      </w:r>
      <w:r>
        <w:t xml:space="preserve"> </w:t>
      </w:r>
      <w:r>
        <w:rPr>
          <w:b/>
          <w:bCs/>
        </w:rPr>
        <w:t xml:space="preserve">Key decisions:</w:t>
      </w:r>
      <w:r>
        <w:t xml:space="preserve"> </w:t>
      </w:r>
      <w:r>
        <w:t xml:space="preserve">IL vs. RL; reward design; safety shielding; when sim is insufficient.</w:t>
      </w:r>
      <w:r>
        <w:t xml:space="preserve"> </w:t>
      </w:r>
      <w:r>
        <w:rPr>
          <w:b/>
          <w:bCs/>
        </w:rPr>
        <w:t xml:space="preserve">References:</w:t>
      </w:r>
      <w:r>
        <w:t xml:space="preserve"> </w:t>
      </w:r>
      <w:r>
        <w:t xml:space="preserve">plan §7; §13 →</w:t>
      </w:r>
      <w:r>
        <w:t xml:space="preserve"> </w:t>
      </w:r>
      <w:r>
        <w:rPr>
          <w:i/>
          <w:iCs/>
        </w:rPr>
        <w:t xml:space="preserve">Robotics &amp; embodied AI</w:t>
      </w:r>
      <w:r>
        <w:t xml:space="preserve">.</w:t>
      </w:r>
      <w:r>
        <w:t xml:space="preserve"> </w:t>
      </w:r>
      <w:r>
        <w:rPr>
          <w:b/>
          <w:bCs/>
        </w:rPr>
        <w:t xml:space="preserve">Hours:</w:t>
      </w:r>
      <w:r>
        <w:t xml:space="preserve"> </w:t>
      </w:r>
      <w:r>
        <w:t xml:space="preserve">Theory</w:t>
      </w:r>
      <w:r>
        <w:t xml:space="preserve"> </w:t>
      </w:r>
      <w:r>
        <w:rPr>
          <w:b/>
          <w:bCs/>
        </w:rPr>
        <w:t xml:space="preserve">10</w:t>
      </w:r>
      <w:r>
        <w:t xml:space="preserve"> </w:t>
      </w:r>
      <w:r>
        <w:t xml:space="preserve">+ Lab</w:t>
      </w:r>
      <w:r>
        <w:t xml:space="preserve"> </w:t>
      </w:r>
      <w:r>
        <w:rPr>
          <w:b/>
          <w:bCs/>
        </w:rPr>
        <w:t xml:space="preserve">14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24</w:t>
      </w:r>
      <w:r>
        <w:t xml:space="preserve">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zh-CN" w:val="en-US"/>
      </w:rPr>
    </w:rPrDefault>
    <w:pPrDefault>
      <w:pPr>
        <w:spacing w:after="20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  <w:jc w:val="both"/>
    </w:pPr>
    <w:rPr>
      <w:rFonts w:ascii="Arial" w:cs="Arial" w:eastAsia="Arial" w:hAnsi="Arial"/>
      <w:sz w:val="24"/>
      <w:szCs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jc w:val="left"/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jc w:val="left"/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jc w:val="left"/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jc w:val="left"/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jc w:val="left"/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jc w:val="left"/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jc w:val="left"/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jc w:val="left"/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2026-08-02T21:04:54Z</dcterms:created>
  <dcterms:modified xsi:type="dcterms:W3CDTF">2026-08-02T21:04:54Z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