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357bbe5959ec8dd307b175ca0b759c9802d5f4e"/>
    <w:p>
      <w:pPr>
        <w:pStyle w:val="Heading1"/>
      </w:pPr>
      <w:r>
        <w:t xml:space="preserve">Volume V · Chapter 27 — Regulation, Ethics &amp; Liability · Theory</w:t>
      </w:r>
    </w:p>
    <w:p>
      <w:pPr>
        <w:pStyle w:val="BlockText"/>
      </w:pPr>
      <w:r>
        <w:t xml:space="preserve">Source: split from</w:t>
      </w:r>
      <w:r>
        <w:t xml:space="preserve"> </w:t>
      </w:r>
      <w:r>
        <w:rPr>
          <w:rStyle w:val="VerbatimChar"/>
        </w:rPr>
        <w:t xml:space="preserve">med-tech-curriculum-V1.md</w:t>
      </w:r>
      <w:r>
        <w:t xml:space="preserve"> </w:t>
      </w:r>
      <w:r>
        <w:t xml:space="preserve">(V1). From this split onward this chapter is maintained</w:t>
      </w:r>
      <w:r>
        <w:t xml:space="preserve"> </w:t>
      </w:r>
      <w:r>
        <w:rPr>
          <w:b/>
          <w:bCs/>
        </w:rPr>
        <w:t xml:space="preserve">independently</w:t>
      </w:r>
      <w:r>
        <w:t xml:space="preserve"> </w:t>
      </w:r>
      <w:r>
        <w:t xml:space="preserve">here. See</w:t>
      </w:r>
      <w:r>
        <w:t xml:space="preserve"> </w:t>
      </w:r>
      <w:r>
        <w:rPr>
          <w:rStyle w:val="VerbatimChar"/>
        </w:rPr>
        <w:t xml:space="preserve">Volume-V-Chapter-27-context.md</w:t>
      </w:r>
      <w:r>
        <w:t xml:space="preserve"> </w:t>
      </w:r>
      <w:r>
        <w:t xml:space="preserve">for the AI interaction log.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Ch 15, Ch 26.</w:t>
      </w:r>
    </w:p>
    <w:p>
      <w:pPr>
        <w:pStyle w:val="BodyText"/>
      </w:pPr>
      <w:r>
        <w:rPr>
          <w:b/>
          <w:bCs/>
        </w:rPr>
        <w:t xml:space="preserve">Learning outcomes — the student can:</w:t>
      </w:r>
      <w:r>
        <w:t xml:space="preserve"> </w:t>
      </w:r>
      <w:r>
        <w:t xml:space="preserve">navigate device regulation for autonomous medical systems; analyze liability/accountability; apply an ethics framework; draft a safety/validation case.</w:t>
      </w:r>
    </w:p>
    <w:p>
      <w:pPr>
        <w:pStyle w:val="BodyText"/>
      </w:pPr>
      <w:r>
        <w:rPr>
          <w:b/>
          <w:bCs/>
        </w:rPr>
        <w:t xml:space="preserve">Topics (theory) — 8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27.1</w:t>
            </w:r>
          </w:p>
        </w:tc>
        <w:tc>
          <w:tcPr/>
          <w:p>
            <w:pPr>
              <w:pStyle w:val="Compact"/>
            </w:pPr>
            <w:r>
              <w:t xml:space="preserve">Medical device regulation: SaMD, FDA/CE for AI &amp; robotics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27.2</w:t>
            </w:r>
          </w:p>
        </w:tc>
        <w:tc>
          <w:tcPr/>
          <w:p>
            <w:pPr>
              <w:pStyle w:val="Compact"/>
            </w:pPr>
            <w:r>
              <w:t xml:space="preserve">Autonomy levels &amp; regulatory implications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27.3</w:t>
            </w:r>
          </w:p>
        </w:tc>
        <w:tc>
          <w:tcPr/>
          <w:p>
            <w:pPr>
              <w:pStyle w:val="Compact"/>
            </w:pPr>
            <w:r>
              <w:t xml:space="preserve">Liability &amp; accountability for autonomous action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27.4</w:t>
            </w:r>
          </w:p>
        </w:tc>
        <w:tc>
          <w:tcPr/>
          <w:p>
            <w:pPr>
              <w:pStyle w:val="Compact"/>
            </w:pPr>
            <w:r>
              <w:t xml:space="preserve">Ethics: consent, equity, transparency, human oversight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27.5</w:t>
            </w:r>
          </w:p>
        </w:tc>
        <w:tc>
          <w:tcPr/>
          <w:p>
            <w:pPr>
              <w:pStyle w:val="Compact"/>
            </w:pPr>
            <w:r>
              <w:t xml:space="preserve">Building a safety/validation case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Datasets/tools:</w:t>
      </w:r>
      <w:r>
        <w:t xml:space="preserve"> </w:t>
      </w:r>
      <w:r>
        <w:t xml:space="preserve">regulatory guidance documents; case templates.</w:t>
      </w:r>
      <w:r>
        <w:t xml:space="preserve"> </w:t>
      </w:r>
      <w:r>
        <w:rPr>
          <w:b/>
          <w:bCs/>
        </w:rPr>
        <w:t xml:space="preserve">Assessment:</w:t>
      </w:r>
      <w:r>
        <w:t xml:space="preserve"> </w:t>
      </w:r>
      <w:r>
        <w:t xml:space="preserve">safety/regulatory case (</w:t>
      </w:r>
      <w:r>
        <w:rPr>
          <w:b/>
          <w:bCs/>
        </w:rPr>
        <w:t xml:space="preserve">60%</w:t>
      </w:r>
      <w:r>
        <w:t xml:space="preserve">); ethics analysis (</w:t>
      </w:r>
      <w:r>
        <w:rPr>
          <w:b/>
          <w:bCs/>
        </w:rPr>
        <w:t xml:space="preserve">20%</w:t>
      </w:r>
      <w:r>
        <w:t xml:space="preserve">); quiz (</w:t>
      </w:r>
      <w:r>
        <w:rPr>
          <w:b/>
          <w:bCs/>
        </w:rPr>
        <w:t xml:space="preserve">20%</w:t>
      </w:r>
      <w:r>
        <w:t xml:space="preserve">).</w:t>
      </w:r>
      <w:r>
        <w:t xml:space="preserve"> </w:t>
      </w:r>
      <w:r>
        <w:rPr>
          <w:b/>
          <w:bCs/>
        </w:rPr>
        <w:t xml:space="preserve">Key decisions:</w:t>
      </w:r>
      <w:r>
        <w:t xml:space="preserve"> </w:t>
      </w:r>
      <w:r>
        <w:t xml:space="preserve">autonomy vs. oversight; regulatory pathway; acceptable risk &amp; accountability.</w:t>
      </w:r>
      <w:r>
        <w:t xml:space="preserve"> </w:t>
      </w:r>
      <w:r>
        <w:rPr>
          <w:b/>
          <w:bCs/>
        </w:rPr>
        <w:t xml:space="preserve">References:</w:t>
      </w:r>
      <w:r>
        <w:t xml:space="preserve"> </w:t>
      </w:r>
      <w:r>
        <w:t xml:space="preserve">plan §7; §13 →</w:t>
      </w:r>
      <w:r>
        <w:t xml:space="preserve"> </w:t>
      </w:r>
      <w:r>
        <w:rPr>
          <w:i/>
          <w:iCs/>
        </w:rPr>
        <w:t xml:space="preserve">Robotics &amp; embodied AI</w:t>
      </w:r>
      <w:r>
        <w:t xml:space="preserve">.</w:t>
      </w:r>
      <w:r>
        <w:t xml:space="preserve"> </w:t>
      </w:r>
      <w:r>
        <w:rPr>
          <w:b/>
          <w:bCs/>
        </w:rPr>
        <w:t xml:space="preserve">Hours:</w:t>
      </w:r>
      <w:r>
        <w:t xml:space="preserve"> </w:t>
      </w:r>
      <w:r>
        <w:t xml:space="preserve">Theory</w:t>
      </w:r>
      <w:r>
        <w:t xml:space="preserve"> </w:t>
      </w:r>
      <w:r>
        <w:rPr>
          <w:b/>
          <w:bCs/>
        </w:rPr>
        <w:t xml:space="preserve">8</w:t>
      </w:r>
      <w:r>
        <w:t xml:space="preserve"> </w:t>
      </w:r>
      <w:r>
        <w:t xml:space="preserve">+ Lab</w:t>
      </w:r>
      <w:r>
        <w:t xml:space="preserve"> </w:t>
      </w:r>
      <w:r>
        <w:rPr>
          <w:b/>
          <w:bCs/>
        </w:rPr>
        <w:t xml:space="preserve">4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12</w:t>
      </w:r>
      <w:r>
        <w:t xml:space="preserve">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zh-CN" w:val="en-US"/>
      </w:rPr>
    </w:rPrDefault>
    <w:pPrDefault>
      <w:pPr>
        <w:spacing w:after="200" w:line="360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  <w:jc w:val="both"/>
    </w:pPr>
    <w:rPr>
      <w:rFonts w:ascii="Arial" w:cs="Arial" w:eastAsia="Arial" w:hAnsi="Arial"/>
      <w:sz w:val="24"/>
      <w:szCs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jc w:val="left"/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jc w:val="left"/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jc w:val="left"/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jc w:val="left"/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jc w:val="left"/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jc w:val="left"/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jc w:val="left"/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jc w:val="left"/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2026-08-02T21:04:56Z</dcterms:created>
  <dcterms:modified xsi:type="dcterms:W3CDTF">2026-08-02T21:04:56Z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