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e4f1934e05fad7d889728b05c2cae1383168e3"/>
    <w:p>
      <w:pPr>
        <w:pStyle w:val="Heading1"/>
      </w:pPr>
      <w:r>
        <w:t xml:space="preserve">Volume II · Chapter 10 — Benchmarking &amp; Hallucination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Volume-II-Chapter-10-context.md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8, Ch 9.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evaluate LLMs on medical benchmarks (MedQA/PubMedQA/MedMCQA); interpret results; measure hallucination; build an eval harness; explain why benchmark ≠ clinical safety.</w:t>
      </w:r>
    </w:p>
    <w:p>
      <w:pPr>
        <w:pStyle w:val="BodyText"/>
      </w:pPr>
      <w:r>
        <w:rPr>
          <w:b/>
          <w:bCs/>
        </w:rPr>
        <w:t xml:space="preserve">Labs (hands-on)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t xml:space="preserve">Run a model on a MedQA-style set; compute accuracy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t xml:space="preserve">Build a small eval harness with the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  <w:r>
              <w:t xml:space="preserve"> </w:t>
            </w: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10c</w:t>
            </w:r>
          </w:p>
        </w:tc>
        <w:tc>
          <w:tcPr/>
          <w:p>
            <w:pPr>
              <w:pStyle w:val="Compact"/>
            </w:pPr>
            <w:r>
              <w:t xml:space="preserve">Hallucination test: craft adversarial clinical prompts, score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/</w:t>
      </w:r>
      <w:r>
        <w:rPr>
          <w:rStyle w:val="VerbatimChar"/>
        </w:rPr>
        <w:t xml:space="preserve">evaluate</w:t>
      </w:r>
      <w:r>
        <w:t xml:space="preserve">; local LLM.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eval-harness deliverable (</w:t>
      </w:r>
      <w:r>
        <w:rPr>
          <w:b/>
          <w:bCs/>
        </w:rPr>
        <w:t xml:space="preserve">50%</w:t>
      </w:r>
      <w:r>
        <w:t xml:space="preserve">); hallucination report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benchmark supports which claim; honest reporting of limitations.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Fine-tuning, alignment &amp; benchmarks</w:t>
      </w:r>
      <w:r>
        <w:t xml:space="preserve">;</w:t>
      </w:r>
      <w:r>
        <w:t xml:space="preserve"> </w:t>
      </w:r>
      <w:r>
        <w:rPr>
          <w:i/>
          <w:iCs/>
        </w:rPr>
        <w:t xml:space="preserve">Medical LLMs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2026-08-02T19:36:34Z</dcterms:created>
  <dcterms:modified xsi:type="dcterms:W3CDTF">2026-08-02T19:36:34Z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