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b8d9214250481a1d8f6c47c3aa33be208a364c"/>
    <w:p>
      <w:pPr>
        <w:pStyle w:val="Heading1"/>
      </w:pPr>
      <w:r>
        <w:t xml:space="preserve">Volume II · Chapter 10 — Benchmarking &amp; Hallucination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Volume-II-Chapter-10-context.md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8, Ch 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evaluate LLMs on medical benchmarks (MedQA/PubMedQA/MedMCQA); interpret results; measure hallucination; build an eval harness; explain why benchmark ≠ clinical safety.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Benchmark landscape: MedQA (USMLE), PubMedQA, MedMCQA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Metrics: accuracy, exact-match &amp; their limits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Hallucination: definitions, causes, measurement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Faithfulness &amp; grounding metrics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Benchmark ≠ clinical safety; distribution shift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/</w:t>
      </w:r>
      <w:r>
        <w:rPr>
          <w:rStyle w:val="VerbatimChar"/>
        </w:rPr>
        <w:t xml:space="preserve">evaluate</w:t>
      </w:r>
      <w:r>
        <w:t xml:space="preserve">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eval-harness deliverable (</w:t>
      </w:r>
      <w:r>
        <w:rPr>
          <w:b/>
          <w:bCs/>
        </w:rPr>
        <w:t xml:space="preserve">50%</w:t>
      </w:r>
      <w:r>
        <w:t xml:space="preserve">); hallucination report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benchmark supports which claim; honest reporting of limitations.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2026-08-02T19:36:34Z</dcterms:created>
  <dcterms:modified xsi:type="dcterms:W3CDTF">2026-08-02T19:36:34Z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