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2abe60701b50847f5e58c8325560db0e54bdf79"/>
    <w:p>
      <w:pPr>
        <w:pStyle w:val="Heading1"/>
      </w:pPr>
      <w:r>
        <w:t xml:space="preserve">Volume II · Chapter 11 — First Fine-Tunes (PubMedBERT, QLoRA, local MedGemma/Ollama) · Theory</w:t>
      </w:r>
    </w:p>
    <w:p>
      <w:pPr>
        <w:pStyle w:val="BlockText"/>
      </w:pPr>
      <w:r>
        <w:t xml:space="preserve">Source: split from</w:t>
      </w:r>
      <w:r>
        <w:t xml:space="preserve"> </w:t>
      </w:r>
      <w:r>
        <w:rPr>
          <w:rStyle w:val="VerbatimChar"/>
        </w:rPr>
        <w:t xml:space="preserve">med-tech-curriculum-V1.md</w:t>
      </w:r>
      <w:r>
        <w:t xml:space="preserve"> </w:t>
      </w:r>
      <w:r>
        <w:t xml:space="preserve">(V1). From this split onward this chapter is maintained</w:t>
      </w:r>
      <w:r>
        <w:t xml:space="preserve"> </w:t>
      </w:r>
      <w:r>
        <w:rPr>
          <w:b/>
          <w:bCs/>
        </w:rPr>
        <w:t xml:space="preserve">independently</w:t>
      </w:r>
      <w:r>
        <w:t xml:space="preserve"> </w:t>
      </w:r>
      <w:r>
        <w:t xml:space="preserve">here. See</w:t>
      </w:r>
      <w:r>
        <w:t xml:space="preserve"> </w:t>
      </w:r>
      <w:r>
        <w:rPr>
          <w:rStyle w:val="VerbatimChar"/>
        </w:rPr>
        <w:t xml:space="preserve">Volume-II-Chapter-11-context.md</w:t>
      </w:r>
      <w:r>
        <w:t xml:space="preserve"> </w:t>
      </w:r>
      <w:r>
        <w:t xml:space="preserve">for the AI interaction log.</w:t>
      </w:r>
    </w:p>
    <w:p>
      <w:pPr>
        <w:pStyle w:val="FirstParagraph"/>
      </w:pPr>
      <w:r>
        <w:rPr>
          <w:b/>
          <w:bCs/>
        </w:rPr>
        <w:t xml:space="preserve">Prerequisites:</w:t>
      </w:r>
      <w:r>
        <w:t xml:space="preserve"> </w:t>
      </w:r>
      <w:r>
        <w:t xml:space="preserve">Ch 7–10.</w:t>
      </w:r>
    </w:p>
    <w:p>
      <w:pPr>
        <w:pStyle w:val="BodyText"/>
      </w:pPr>
      <w:r>
        <w:rPr>
          <w:b/>
          <w:bCs/>
        </w:rPr>
        <w:t xml:space="preserve">Learning outcomes — the student can:</w:t>
      </w:r>
      <w:r>
        <w:t xml:space="preserve"> </w:t>
      </w:r>
      <w:r>
        <w:t xml:space="preserve">fine-tune a biomedical BERT for classification; apply QLoRA to fine-tune a small generative LLM on medical QA; run models locally via Ollama; evaluate a fine-tune and write a model card.</w:t>
      </w:r>
    </w:p>
    <w:p>
      <w:pPr>
        <w:pStyle w:val="BodyText"/>
      </w:pPr>
      <w:r>
        <w:rPr>
          <w:b/>
          <w:bCs/>
        </w:rPr>
        <w:t xml:space="preserve">Topics (theory) — 10 h: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11.1</w:t>
            </w:r>
          </w:p>
        </w:tc>
        <w:tc>
          <w:tcPr/>
          <w:p>
            <w:pPr>
              <w:pStyle w:val="Compact"/>
            </w:pPr>
            <w:r>
              <w:t xml:space="preserve">Fine-tuning mechanics: heads, learning rate, epochs, overfitting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11.2</w:t>
            </w:r>
          </w:p>
        </w:tc>
        <w:tc>
          <w:tcPr/>
          <w:p>
            <w:pPr>
              <w:pStyle w:val="Compact"/>
            </w:pPr>
            <w:r>
              <w:t xml:space="preserve">Parameter-efficient fine-tuning: LoRA &amp; QLoRA (quantization)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11.3</w:t>
            </w:r>
          </w:p>
        </w:tc>
        <w:tc>
          <w:tcPr/>
          <w:p>
            <w:pPr>
              <w:pStyle w:val="Compact"/>
            </w:pPr>
            <w:r>
              <w:t xml:space="preserve">Datasets for fine-tuning: formatting, splits, tokenization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11.4</w:t>
            </w:r>
          </w:p>
        </w:tc>
        <w:tc>
          <w:tcPr/>
          <w:p>
            <w:pPr>
              <w:pStyle w:val="Compact"/>
            </w:pPr>
            <w:r>
              <w:t xml:space="preserve">Local deployment: Ollama, GGUF, quantization levels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11.5</w:t>
            </w:r>
          </w:p>
        </w:tc>
        <w:tc>
          <w:tcPr/>
          <w:p>
            <w:pPr>
              <w:pStyle w:val="Compact"/>
            </w:pPr>
            <w:r>
              <w:t xml:space="preserve">Evaluating a fine-tuned medical model; avoiding leakage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11.6</w:t>
            </w:r>
          </w:p>
        </w:tc>
        <w:tc>
          <w:tcPr/>
          <w:p>
            <w:pPr>
              <w:pStyle w:val="Compact"/>
            </w:pPr>
            <w:r>
              <w:t xml:space="preserve">Compute &amp; memory budgeting on consumer GPUs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rPr>
          <w:b/>
          <w:bCs/>
        </w:rPr>
        <w:t xml:space="preserve">Datasets/tools:</w:t>
      </w:r>
      <w:r>
        <w:t xml:space="preserve"> </w:t>
      </w:r>
      <w:r>
        <w:t xml:space="preserve">HF</w:t>
      </w:r>
      <w:r>
        <w:t xml:space="preserve"> </w:t>
      </w:r>
      <w:r>
        <w:rPr>
          <w:rStyle w:val="VerbatimChar"/>
        </w:rPr>
        <w:t xml:space="preserve">transformers</w:t>
      </w:r>
      <w:r>
        <w:t xml:space="preserve">/</w:t>
      </w:r>
      <w:r>
        <w:rPr>
          <w:rStyle w:val="VerbatimChar"/>
        </w:rPr>
        <w:t xml:space="preserve">peft</w:t>
      </w:r>
      <w:r>
        <w:t xml:space="preserve">/</w:t>
      </w:r>
      <w:r>
        <w:rPr>
          <w:rStyle w:val="VerbatimChar"/>
        </w:rPr>
        <w:t xml:space="preserve">bitsandbytes</w:t>
      </w:r>
      <w:r>
        <w:t xml:space="preserve">, QLoRA, Ollama, MedGemma; GPU workstation.</w:t>
      </w:r>
      <w:r>
        <w:t xml:space="preserve"> </w:t>
      </w:r>
      <w:r>
        <w:rPr>
          <w:b/>
          <w:bCs/>
        </w:rPr>
        <w:t xml:space="preserve">Assessment:</w:t>
      </w:r>
      <w:r>
        <w:t xml:space="preserve"> </w:t>
      </w:r>
      <w:r>
        <w:t xml:space="preserve">fine-tuned model + model card (</w:t>
      </w:r>
      <w:r>
        <w:rPr>
          <w:b/>
          <w:bCs/>
        </w:rPr>
        <w:t xml:space="preserve">60%</w:t>
      </w:r>
      <w:r>
        <w:t xml:space="preserve">); eval report (</w:t>
      </w:r>
      <w:r>
        <w:rPr>
          <w:b/>
          <w:bCs/>
        </w:rPr>
        <w:t xml:space="preserve">20%</w:t>
      </w:r>
      <w:r>
        <w:t xml:space="preserve">); quiz (</w:t>
      </w:r>
      <w:r>
        <w:rPr>
          <w:b/>
          <w:bCs/>
        </w:rPr>
        <w:t xml:space="preserve">20%</w:t>
      </w:r>
      <w:r>
        <w:t xml:space="preserve">).</w:t>
      </w:r>
      <w:r>
        <w:t xml:space="preserve"> </w:t>
      </w:r>
      <w:r>
        <w:rPr>
          <w:b/>
          <w:bCs/>
        </w:rPr>
        <w:t xml:space="preserve">Key decisions:</w:t>
      </w:r>
      <w:r>
        <w:t xml:space="preserve"> </w:t>
      </w:r>
      <w:r>
        <w:t xml:space="preserve">full vs. PEFT fine-tuning; quantization level vs. quality; base model/size vs. hardware.</w:t>
      </w:r>
      <w:r>
        <w:t xml:space="preserve"> </w:t>
      </w:r>
      <w:r>
        <w:rPr>
          <w:b/>
          <w:bCs/>
        </w:rPr>
        <w:t xml:space="preserve">References:</w:t>
      </w:r>
      <w:r>
        <w:t xml:space="preserve"> </w:t>
      </w:r>
      <w:r>
        <w:t xml:space="preserve">plan §13 →</w:t>
      </w:r>
      <w:r>
        <w:t xml:space="preserve"> </w:t>
      </w:r>
      <w:r>
        <w:rPr>
          <w:i/>
          <w:iCs/>
        </w:rPr>
        <w:t xml:space="preserve">Fine-tuning…</w:t>
      </w:r>
      <w:r>
        <w:t xml:space="preserve">;</w:t>
      </w:r>
      <w:r>
        <w:t xml:space="preserve"> </w:t>
      </w:r>
      <w:r>
        <w:rPr>
          <w:i/>
          <w:iCs/>
        </w:rPr>
        <w:t xml:space="preserve">Medical LLMs</w:t>
      </w:r>
      <w:r>
        <w:t xml:space="preserve">;</w:t>
      </w:r>
      <w:r>
        <w:t xml:space="preserve"> </w:t>
      </w:r>
      <w:r>
        <w:rPr>
          <w:i/>
          <w:iCs/>
        </w:rPr>
        <w:t xml:space="preserve">…local inference</w:t>
      </w:r>
      <w:r>
        <w:t xml:space="preserve">.</w:t>
      </w:r>
      <w:r>
        <w:t xml:space="preserve"> </w:t>
      </w:r>
      <w:r>
        <w:rPr>
          <w:b/>
          <w:bCs/>
        </w:rPr>
        <w:t xml:space="preserve">Hours:</w:t>
      </w:r>
      <w:r>
        <w:t xml:space="preserve"> </w:t>
      </w:r>
      <w:r>
        <w:t xml:space="preserve">Theory</w:t>
      </w:r>
      <w:r>
        <w:t xml:space="preserve"> </w:t>
      </w:r>
      <w:r>
        <w:rPr>
          <w:b/>
          <w:bCs/>
        </w:rPr>
        <w:t xml:space="preserve">10</w:t>
      </w:r>
      <w:r>
        <w:t xml:space="preserve"> </w:t>
      </w:r>
      <w:r>
        <w:t xml:space="preserve">+ Lab</w:t>
      </w:r>
      <w:r>
        <w:t xml:space="preserve"> </w:t>
      </w:r>
      <w:r>
        <w:rPr>
          <w:b/>
          <w:bCs/>
        </w:rPr>
        <w:t xml:space="preserve">20</w:t>
      </w:r>
      <w:r>
        <w:t xml:space="preserve"> </w:t>
      </w:r>
      <w:r>
        <w:t xml:space="preserve">=</w:t>
      </w:r>
      <w:r>
        <w:t xml:space="preserve"> </w:t>
      </w:r>
      <w:r>
        <w:rPr>
          <w:b/>
          <w:bCs/>
        </w:rPr>
        <w:t xml:space="preserve">30</w:t>
      </w:r>
      <w:r>
        <w:t xml:space="preserve">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2026-08-02T19:36:35Z</dcterms:created>
  <dcterms:modified xsi:type="dcterms:W3CDTF">2026-08-02T19:36:35Z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