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dd75b6f52ad465782552fe5cbfd76f4b085761"/>
    <w:p>
      <w:pPr>
        <w:pStyle w:val="Heading1"/>
      </w:pPr>
      <w:r>
        <w:t xml:space="preserve">Volume III · Chapter 12 — Retrieval-Augmented Generation (RAG)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Volume-III-Chapter-12-context.md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7, Ch 8, Ch 11.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RAG architecture; build an ingest→embed→retrieve→generate pipeline; ground answers with citations; evaluate retrieval and answer faithfulness; reduce hallucination.</w:t>
      </w:r>
    </w:p>
    <w:p>
      <w:pPr>
        <w:pStyle w:val="BodyText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Why RAG; grounding vs. parametric knowledge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RAG architecture: retriever + generator; the pipeline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Chunking strategies for clinical documents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Embeddings &amp; similarity search fundamentals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Prompt assembly, context windows, citation/provenance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RAG evaluation: retrieval metrics + answer faithfulness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Advanced: reranking, hybrid search, query rewriting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LangChain/LlamaIndex or custom; embeddings model; Chroma;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working RAG system (</w:t>
      </w:r>
      <w:r>
        <w:rPr>
          <w:b/>
          <w:bCs/>
        </w:rPr>
        <w:t xml:space="preserve">60%</w:t>
      </w:r>
      <w:r>
        <w:t xml:space="preserve">); eval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chunk size/overlap; embedding model; RAG vs. fine-tune; citation strategy.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RAG, vector databases &amp; 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2026-08-02T19:36:40Z</dcterms:created>
  <dcterms:modified xsi:type="dcterms:W3CDTF">2026-08-02T19:36:40Z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