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d3c6634243d63d52a70b85ae2ff534e690960c"/>
    <w:p>
      <w:pPr>
        <w:pStyle w:val="Heading1"/>
      </w:pPr>
      <w:r>
        <w:t xml:space="preserve">Volume III · Chapter 13 — Vector Databases &amp; Knowledge Storage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Volume-III-Chapter-13-context.md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12.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explain embeddings storage and ANN search; use Chroma/FAISS (and know Weaviate/Pinecone); design metadata &amp; filtering; reason about where knowledge lives in hardware (RAM/NVMe) and how it scales.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</w:t>
            </w:r>
          </w:p>
        </w:tc>
        <w:tc>
          <w:tcPr/>
          <w:p>
            <w:pPr>
              <w:pStyle w:val="Compact"/>
            </w:pPr>
            <w:r>
              <w:t xml:space="preserve">Vector embeddings &amp; similarity metrics (cosine, dot, L2)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13.2</w:t>
            </w:r>
          </w:p>
        </w:tc>
        <w:tc>
          <w:tcPr/>
          <w:p>
            <w:pPr>
              <w:pStyle w:val="Compact"/>
            </w:pPr>
            <w:r>
              <w:t xml:space="preserve">ANN indexes: HNSW, IVF; recall vs. speed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13.3</w:t>
            </w:r>
          </w:p>
        </w:tc>
        <w:tc>
          <w:tcPr/>
          <w:p>
            <w:pPr>
              <w:pStyle w:val="Compact"/>
            </w:pPr>
            <w:r>
              <w:t xml:space="preserve">Vector DBs compared: Chroma, Weaviate, Pinecone, FAISS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13.4</w:t>
            </w:r>
          </w:p>
        </w:tc>
        <w:tc>
          <w:tcPr/>
          <w:p>
            <w:pPr>
              <w:pStyle w:val="Compact"/>
            </w:pPr>
            <w:r>
              <w:t xml:space="preserve">Metadata, filtering &amp; hybrid (keyword+vector) search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Where knowledge lives: RAM vs. NVMe; persistence; scaling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Chroma, FAISS, Weaviate (optional); embeddings model.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vector-store lab (</w:t>
      </w:r>
      <w:r>
        <w:rPr>
          <w:b/>
          <w:bCs/>
        </w:rPr>
        <w:t xml:space="preserve">50%</w:t>
      </w:r>
      <w:r>
        <w:t xml:space="preserve">); benchmark report (</w:t>
      </w:r>
      <w:r>
        <w:rPr>
          <w:b/>
          <w:bCs/>
        </w:rPr>
        <w:t xml:space="preserve">30%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which vector DB; index type vs. recall/latency; RAM vs. disk; managed vs. local.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RAG, vector databases &amp; local inference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20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2026-08-02T19:36:41Z</dcterms:created>
  <dcterms:modified xsi:type="dcterms:W3CDTF">2026-08-02T19:36:41Z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