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f6cdfad7fb76282228745b45db11dd866e8b58c"/>
    <w:p>
      <w:pPr>
        <w:pStyle w:val="Heading1"/>
      </w:pPr>
      <w:r>
        <w:t xml:space="preserve">Volume III · Chapter 15 — Evaluation, Bias, Fairness &amp; Clinical Safety · Labs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Volume-III-Chapter-15-context.md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10, Ch 14.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design rigorous clinical evaluation; measure subgroup bias/fairness; assess calibration and safety (red-teaming); explain the benchmark-to-clinic gap; run clinician-in-the-loop evaluation.</w:t>
      </w:r>
    </w:p>
    <w:p>
      <w:pPr>
        <w:pStyle w:val="BodyText"/>
      </w:pPr>
      <w:r>
        <w:rPr>
          <w:b/>
          <w:bCs/>
        </w:rPr>
        <w:t xml:space="preserve">Labs (hands-on)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15a</w:t>
            </w:r>
          </w:p>
        </w:tc>
        <w:tc>
          <w:tcPr/>
          <w:p>
            <w:pPr>
              <w:pStyle w:val="Compact"/>
            </w:pPr>
            <w:r>
              <w:t xml:space="preserve">Subgroup fairness analysis on a clinical model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15b</w:t>
            </w:r>
          </w:p>
        </w:tc>
        <w:tc>
          <w:tcPr/>
          <w:p>
            <w:pPr>
              <w:pStyle w:val="Compact"/>
            </w:pPr>
            <w:r>
              <w:t xml:space="preserve">Calibration curves &amp; reliability diagrams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15c</w:t>
            </w:r>
          </w:p>
        </w:tc>
        <w:tc>
          <w:tcPr/>
          <w:p>
            <w:pPr>
              <w:pStyle w:val="Compact"/>
            </w:pPr>
            <w:r>
              <w:t xml:space="preserve">Red-team a medical LLM; catalog failure modes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15d</w:t>
            </w:r>
          </w:p>
        </w:tc>
        <w:tc>
          <w:tcPr/>
          <w:p>
            <w:pPr>
              <w:pStyle w:val="Compact"/>
            </w:pPr>
            <w:r>
              <w:t xml:space="preserve">Design a human-eval rubric &amp; run a mini study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rPr>
          <w:rStyle w:val="VerbatimChar"/>
        </w:rPr>
        <w:t xml:space="preserve">evaluate</w:t>
      </w:r>
      <w:r>
        <w:t xml:space="preserve">, fairness libraries;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safety/fairness eval report (</w:t>
      </w:r>
      <w:r>
        <w:rPr>
          <w:b/>
          <w:bCs/>
        </w:rPr>
        <w:t xml:space="preserve">60%</w:t>
      </w:r>
      <w:r>
        <w:t xml:space="preserve">); red-team catalog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subgroups &amp; metrics; acceptable risk thresholds; when a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safe to deploy.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22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2026-08-02T19:36:42Z</dcterms:created>
  <dcterms:modified xsi:type="dcterms:W3CDTF">2026-08-02T19:36:42Z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