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aa11b8999781c3165ab5056eecf707cbc94aee"/>
    <w:p>
      <w:pPr>
        <w:pStyle w:val="Heading1"/>
      </w:pPr>
      <w:r>
        <w:t xml:space="preserve">Volume III · Chapter 15 — Evaluation, Bias, Fairness &amp; Clinical Safety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Volume-III-Chapter-15-context.md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10, Ch 14.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design rigorous clinical evaluation; measure subgroup bias/fairness; assess calibration and safety (red-teaming); explain the benchmark-to-clinic gap; run clinician-in-the-loop evaluation.</w:t>
      </w:r>
    </w:p>
    <w:p>
      <w:pPr>
        <w:pStyle w:val="BodyText"/>
      </w:pPr>
      <w:r>
        <w:rPr>
          <w:b/>
          <w:bCs/>
        </w:rPr>
        <w:t xml:space="preserve">Topics (theory) — 12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</w:t>
            </w:r>
          </w:p>
        </w:tc>
        <w:tc>
          <w:tcPr/>
          <w:p>
            <w:pPr>
              <w:pStyle w:val="Compact"/>
            </w:pPr>
            <w:r>
              <w:t xml:space="preserve">Evaluation beyond accuracy: task-appropriate metrics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15.2</w:t>
            </w:r>
          </w:p>
        </w:tc>
        <w:tc>
          <w:tcPr/>
          <w:p>
            <w:pPr>
              <w:pStyle w:val="Compact"/>
            </w:pPr>
            <w:r>
              <w:t xml:space="preserve">Bias &amp; fairness: subgroup analysis, disparate performance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t xml:space="preserve">Calibration &amp; uncertainty in clinical models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15.4</w:t>
            </w:r>
          </w:p>
        </w:tc>
        <w:tc>
          <w:tcPr/>
          <w:p>
            <w:pPr>
              <w:pStyle w:val="Compact"/>
            </w:pPr>
            <w:r>
              <w:t xml:space="preserve">Safety: harmful outputs, refusal, red-teaming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  <w:r>
              <w:t xml:space="preserve">Benchmark vs. clinical validity; prospective vs. retrospective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15.6</w:t>
            </w:r>
          </w:p>
        </w:tc>
        <w:tc>
          <w:tcPr/>
          <w:p>
            <w:pPr>
              <w:pStyle w:val="Compact"/>
            </w:pPr>
            <w:r>
              <w:t xml:space="preserve">Human evaluation &amp; clinician-in-the-loop protocols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, fairness libraries; local LLM.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safety/fairness eval report (</w:t>
      </w:r>
      <w:r>
        <w:rPr>
          <w:b/>
          <w:bCs/>
        </w:rPr>
        <w:t xml:space="preserve">60%</w:t>
      </w:r>
      <w:r>
        <w:t xml:space="preserve">); red-team catalog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which subgroups &amp; metrics; acceptable risk thresholds; when a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safe to deploy.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;</w:t>
      </w:r>
      <w:r>
        <w:t xml:space="preserve"> </w:t>
      </w:r>
      <w:r>
        <w:rPr>
          <w:i/>
          <w:iCs/>
        </w:rPr>
        <w:t xml:space="preserve">Fine-tuning, alignment &amp; benchmarks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22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2026-08-02T19:36:42Z</dcterms:created>
  <dcterms:modified xsi:type="dcterms:W3CDTF">2026-08-02T19:36:42Z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