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623966643adfe0690fb1563f4a741b13b9fad57"/>
    <w:p>
      <w:pPr>
        <w:pStyle w:val="Heading1"/>
      </w:pPr>
      <w:r>
        <w:t xml:space="preserve">Volume III · Chapter 16 — Deployment, FHIR Integration &amp; Compliance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Volume-III-Chapter-16-context.md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12, Ch 15, Ch 3.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deploy models locally (Ollama/Open WebUI); build an inference API; integrate via FHIR (read/write, SMART-on-FHIR); monitor performance/drift; navigate the regulatory/compliance landscape.</w:t>
      </w:r>
    </w:p>
    <w:p>
      <w:pPr>
        <w:pStyle w:val="BodyText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Deployment options: local serving, Ollama, Open WebUI, APIs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Inference serving: latency, batching, quantization, scaling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16.3</w:t>
            </w:r>
          </w:p>
        </w:tc>
        <w:tc>
          <w:tcPr/>
          <w:p>
            <w:pPr>
              <w:pStyle w:val="Compact"/>
            </w:pPr>
            <w:r>
              <w:t xml:space="preserve">FHIR integration &amp; SMART-on-FHIR app model (read/write)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16.4</w:t>
            </w:r>
          </w:p>
        </w:tc>
        <w:tc>
          <w:tcPr/>
          <w:p>
            <w:pPr>
              <w:pStyle w:val="Compact"/>
            </w:pPr>
            <w:r>
              <w:t xml:space="preserve">Monitoring, logging, drift &amp; feedback loops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16.5</w:t>
            </w:r>
          </w:p>
        </w:tc>
        <w:tc>
          <w:tcPr/>
          <w:p>
            <w:pPr>
              <w:pStyle w:val="Compact"/>
            </w:pPr>
            <w:r>
              <w:t xml:space="preserve">Regulatory &amp; compliance landscape (SaMD, FDA/CE, HIPAA/GDPR at deployment)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Ollama, Open WebUI, FastAPI, HAPI FHIR/Synthea; monitoring tools.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deployed FHIR-integrated service (</w:t>
      </w:r>
      <w:r>
        <w:rPr>
          <w:b/>
          <w:bCs/>
        </w:rPr>
        <w:t xml:space="preserve">60%</w:t>
      </w:r>
      <w:r>
        <w:t xml:space="preserve">); monitoring setup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local vs. cloud; API design; regulatory pathway; PHI handling at inference.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…local inference</w:t>
      </w:r>
      <w:r>
        <w:t xml:space="preserve">;</w:t>
      </w:r>
      <w:r>
        <w:t xml:space="preserve"> </w:t>
      </w:r>
      <w:r>
        <w:rPr>
          <w:i/>
          <w:iCs/>
        </w:rPr>
        <w:t xml:space="preserve">Interoperability standards</w:t>
      </w:r>
      <w:r>
        <w:t xml:space="preserve">;</w:t>
      </w:r>
      <w:r>
        <w:t xml:space="preserve"> </w:t>
      </w:r>
      <w:r>
        <w:rPr>
          <w:i/>
          <w:iCs/>
        </w:rPr>
        <w:t xml:space="preserve">Clinical data, code sets &amp; privacy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16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2026-08-02T19:36:43Z</dcterms:created>
  <dcterms:modified xsi:type="dcterms:W3CDTF">2026-08-02T19:36:43Z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