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bd1f39e28b72e240a3f541e824a8e6b71dad35"/>
    <w:p>
      <w:pPr>
        <w:pStyle w:val="Heading1"/>
      </w:pPr>
      <w:r>
        <w:t xml:space="preserve">Volume IV · Chapter 18 — Ingestion, OCR &amp; Document Understanding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Volume-IV-Chapter-18-context.md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5, Ch 12.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parse born-digital and scanned medical books; run OCR handling medical vocabulary; extract layout/structure (sections, tables, references); build a clean, provenance-tagged text corpus.</w:t>
      </w:r>
    </w:p>
    <w:p>
      <w:pPr>
        <w:pStyle w:val="BodyText"/>
      </w:pPr>
      <w:r>
        <w:rPr>
          <w:b/>
          <w:bCs/>
        </w:rPr>
        <w:t xml:space="preserve">Labs (hands-on) — 14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18a</w:t>
            </w:r>
          </w:p>
        </w:tc>
        <w:tc>
          <w:tcPr/>
          <w:p>
            <w:pPr>
              <w:pStyle w:val="Compact"/>
            </w:pPr>
            <w:r>
              <w:t xml:space="preserve">Extract text from a born-digital medical PDF (PyMuPDF)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18b</w:t>
            </w:r>
          </w:p>
        </w:tc>
        <w:tc>
          <w:tcPr/>
          <w:p>
            <w:pPr>
              <w:pStyle w:val="Compact"/>
            </w:pPr>
            <w:r>
              <w:t xml:space="preserve">OCR a scanned page; measure &amp; clean errors (Tesseract / doc model)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18c</w:t>
            </w:r>
          </w:p>
        </w:tc>
        <w:tc>
          <w:tcPr/>
          <w:p>
            <w:pPr>
              <w:pStyle w:val="Compact"/>
            </w:pPr>
            <w:r>
              <w:t xml:space="preserve">Layout-aware parsing (unstructured/Nougat/Marker) into sections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18d</w:t>
            </w:r>
          </w:p>
        </w:tc>
        <w:tc>
          <w:tcPr/>
          <w:p>
            <w:pPr>
              <w:pStyle w:val="Compact"/>
            </w:pPr>
            <w:r>
              <w:t xml:space="preserve">Build a provenance-tagged text corpus (page/section metadata)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licensed/open medical texts; PyMuPDF, Tesseract, unstructured/Nougat/Marker.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ingestion pipeline + corpus (</w:t>
      </w:r>
      <w:r>
        <w:rPr>
          <w:b/>
          <w:bCs/>
        </w:rPr>
        <w:t xml:space="preserve">60%</w:t>
      </w:r>
      <w:r>
        <w:t xml:space="preserve">); OCR-quality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born-digital vs. scanned handling; OCR engine; how much structure to preserve;</w:t>
      </w:r>
      <w:r>
        <w:t xml:space="preserve"> </w:t>
      </w:r>
      <w:r>
        <w:rPr>
          <w:b/>
          <w:bCs/>
        </w:rPr>
        <w:t xml:space="preserve">licensing (owned/licensed sources only)</w:t>
      </w:r>
      <w:r>
        <w:t xml:space="preserve">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§6; §13.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2026-08-02T19:36:45Z</dcterms:created>
  <dcterms:modified xsi:type="dcterms:W3CDTF">2026-08-02T19:36:45Z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