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d4eea315f2760327e0377976b7af74de05b041"/>
    <w:p>
      <w:pPr>
        <w:pStyle w:val="Heading1"/>
      </w:pPr>
      <w:r>
        <w:t xml:space="preserve">Volume IV · Chapter 18 — Ingestion, OCR &amp; Document Understanding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Volume-IV-Chapter-18-context.md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5,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parse born-digital and scanned medical books; run OCR handling medical vocabulary; extract layout/structure (sections, tables, references); build a clean, provenance-tagged text corpus.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Document types &amp; challenges: PDFs, scans, layout, columns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OCR fundamentals &amp; medical-text pitfalls (terms, dosages, tables)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Layout analysis &amp; structure extraction (sections, headings, refs)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Tables, equations &amp; footnotes; reading order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Provenance &amp; metadata capture during ingestion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licensed/open medical texts; PyMuPDF, Tesseract, unstructured/Nougat/Marker.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ingestion pipeline + corpus (</w:t>
      </w:r>
      <w:r>
        <w:rPr>
          <w:b/>
          <w:bCs/>
        </w:rPr>
        <w:t xml:space="preserve">60%</w:t>
      </w:r>
      <w:r>
        <w:t xml:space="preserve">); OCR-quality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born-digital vs. scanned handling; OCR engine; how much structure to preserve;</w:t>
      </w:r>
      <w:r>
        <w:t xml:space="preserve"> </w:t>
      </w:r>
      <w:r>
        <w:rPr>
          <w:b/>
          <w:bCs/>
        </w:rPr>
        <w:t xml:space="preserve">licensing (owned/licensed sources only)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2026-08-02T19:36:45Z</dcterms:created>
  <dcterms:modified xsi:type="dcterms:W3CDTF">2026-08-02T19:36:45Z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