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98aa52efffdb5ddf9f94454c54a55deac81fd1"/>
    <w:p>
      <w:pPr>
        <w:pStyle w:val="Heading1"/>
      </w:pPr>
      <w:r>
        <w:t xml:space="preserve">Volume IV · Chapter 19 — Figures &amp; Multimodal Understanding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Volume-IV-Chapter-19-context.md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18, Ch 7.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detect/extract figures; generate &amp; curate captions with multimodal models; link images to text; make images retrievable; describe the SOTA and limits of medical image understanding.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Medical figures: radiology, histology, ECG, diagrams, charts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Figure detection &amp; extraction from documents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Multimodal models (captioning, VQA): LLaVA-Med, MedGemma-multimodal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Image embeddings &amp; multimodal retrieval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Linking figures to surrounding text &amp; captions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SOTA &amp; limits: reliability of medical image understanding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multimodal HF models (LLaVA-Med/MedGemma), CLIP-style embeddings; vector DB.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multimodal ingest+retrieval (</w:t>
      </w:r>
      <w:r>
        <w:rPr>
          <w:b/>
          <w:bCs/>
        </w:rPr>
        <w:t xml:space="preserve">60%</w:t>
      </w:r>
      <w:r>
        <w:t xml:space="preserve">); caption-quality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multimodal model; how much to trust captions; image vs. caption embeddings.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 →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2026-08-02T19:36:46Z</dcterms:created>
  <dcterms:modified xsi:type="dcterms:W3CDTF">2026-08-02T19:36:46Z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