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59cad1ac03cfd763d92ecf91998fbd247b3d63b"/>
    <w:p>
      <w:pPr>
        <w:pStyle w:val="Heading1"/>
      </w:pPr>
      <w:r>
        <w:t xml:space="preserve">Volume IV · Chapter 22 — State of the Art &amp; Evaluation (text/image/video) · Labs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Volume-IV-Chapter-22-context.md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10, Ch 15, Ch 19.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survey current medical LLM/multimodal/video SOTA honestly; design evaluation for book-derived models; assess source-fidelity and citation correctness; articulate maturity gaps.</w:t>
      </w:r>
    </w:p>
    <w:p>
      <w:pPr>
        <w:pStyle w:val="BodyText"/>
      </w:pPr>
      <w:r>
        <w:rPr>
          <w:b/>
          <w:bCs/>
        </w:rPr>
        <w:t xml:space="preserve">Labs (hands-on) — 6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22a</w:t>
            </w:r>
          </w:p>
        </w:tc>
        <w:tc>
          <w:tcPr/>
          <w:p>
            <w:pPr>
              <w:pStyle w:val="Compact"/>
            </w:pPr>
            <w:r>
              <w:t xml:space="preserve">Fidelity eval: does the model's answer match the source book?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r>
              <w:t xml:space="preserve">Citation-correctness scoring on RAG answers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eval harness; the RAG/fine-tuned models built in Volume IV.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SOTA briefing + fidelity eval (</w:t>
      </w:r>
      <w:r>
        <w:rPr>
          <w:b/>
          <w:bCs/>
        </w:rPr>
        <w:t xml:space="preserve">60%</w:t>
      </w:r>
      <w:r>
        <w:t xml:space="preserve">); citation-accuracy report (</w:t>
      </w:r>
      <w:r>
        <w:rPr>
          <w:b/>
          <w:bCs/>
        </w:rPr>
        <w:t xml:space="preserve">20%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honest capability claims; which modality is production-ready; how to report limits.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§6.3; §13 →</w:t>
      </w:r>
      <w:r>
        <w:t xml:space="preserve"> </w:t>
      </w:r>
      <w:r>
        <w:rPr>
          <w:i/>
          <w:iCs/>
        </w:rPr>
        <w:t xml:space="preserve">Medical LLMs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14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2026-08-02T19:36:49Z</dcterms:created>
  <dcterms:modified xsi:type="dcterms:W3CDTF">2026-08-02T19:36:49Z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