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357bbe5959ec8dd307b175ca0b759c9802d5f4e"/>
    <w:p>
      <w:pPr>
        <w:pStyle w:val="Heading1"/>
      </w:pPr>
      <w:r>
        <w:t xml:space="preserve">Volume V · Chapter 27 — Regulation, Ethics &amp; Liability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Volume-V-Chapter-27-context.md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15, Ch 26.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navigate device regulation for autonomous medical systems; analyze liability/accountability; apply an ethics framework; draft a safety/validation case.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27.1</w:t>
            </w:r>
          </w:p>
        </w:tc>
        <w:tc>
          <w:tcPr/>
          <w:p>
            <w:pPr>
              <w:pStyle w:val="Compact"/>
            </w:pPr>
            <w:r>
              <w:t xml:space="preserve">Medical device regulation: SaMD, FDA/CE for AI &amp; robotics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27.2</w:t>
            </w:r>
          </w:p>
        </w:tc>
        <w:tc>
          <w:tcPr/>
          <w:p>
            <w:pPr>
              <w:pStyle w:val="Compact"/>
            </w:pPr>
            <w:r>
              <w:t xml:space="preserve">Autonomy levels &amp; regulatory implications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27.3</w:t>
            </w:r>
          </w:p>
        </w:tc>
        <w:tc>
          <w:tcPr/>
          <w:p>
            <w:pPr>
              <w:pStyle w:val="Compact"/>
            </w:pPr>
            <w:r>
              <w:t xml:space="preserve">Liability &amp; accountability for autonomous action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27.4</w:t>
            </w:r>
          </w:p>
        </w:tc>
        <w:tc>
          <w:tcPr/>
          <w:p>
            <w:pPr>
              <w:pStyle w:val="Compact"/>
            </w:pPr>
            <w:r>
              <w:t xml:space="preserve">Ethics: consent, equity, transparency, human oversight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27.5</w:t>
            </w:r>
          </w:p>
        </w:tc>
        <w:tc>
          <w:tcPr/>
          <w:p>
            <w:pPr>
              <w:pStyle w:val="Compact"/>
            </w:pPr>
            <w:r>
              <w:t xml:space="preserve">Building a safety/validation case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regulatory guidance documents; case templates.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safety/regulatory case (</w:t>
      </w:r>
      <w:r>
        <w:rPr>
          <w:b/>
          <w:bCs/>
        </w:rPr>
        <w:t xml:space="preserve">60%</w:t>
      </w:r>
      <w:r>
        <w:t xml:space="preserve">); ethics analysis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autonomy vs. oversight; regulatory pathway; acceptable risk &amp; accountability.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2026-08-02T19:36:54Z</dcterms:created>
  <dcterms:modified xsi:type="dcterms:W3CDTF">2026-08-02T19:36:54Z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