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0"/>
      </w:pPr>
      <w:r>
        <w:rPr>
          <w:b/>
          <w:bCs/>
          <w:color w:val="702070"/>
          <w:spacing w:val="20"/>
          <w:sz w:val="26"/>
          <w:szCs w:val="26"/>
        </w:rPr>
        <w:t xml:space="preserve">DENTFLUENCE OS</w:t>
      </w:r>
    </w:p>
    <w:p>
      <w:pPr>
        <w:spacing w:after="260"/>
      </w:pPr>
      <w:r>
        <w:rPr>
          <w:b/>
          <w:bCs/>
          <w:color w:val="1A1A1A"/>
          <w:sz w:val="52"/>
          <w:szCs w:val="52"/>
        </w:rPr>
        <w:t xml:space="preserve">Engineering Governance Document</w:t>
      </w:r>
    </w:p>
    <w:p>
      <w:pPr>
        <w:spacing w:after="400"/>
      </w:pPr>
      <w:r>
        <w:rPr>
          <w:i/>
          <w:iCs/>
          <w:color w:val="6B6470"/>
          <w:sz w:val="26"/>
          <w:szCs w:val="26"/>
        </w:rPr>
        <w:t xml:space="preserve">From Module-Centric to Child-Module-Centric Engineering</w:t>
      </w:r>
    </w:p>
    <w:p>
      <w:pPr>
        <w:spacing w:after="70"/>
      </w:pPr>
      <w:r>
        <w:rPr>
          <w:color w:val="6B6470"/>
          <w:sz w:val="21"/>
          <w:szCs w:val="21"/>
        </w:rPr>
        <w:t xml:space="preserve">Prepared for:  </w:t>
      </w:r>
      <w:r>
        <w:rPr>
          <w:b/>
          <w:bCs/>
          <w:color w:val="1A1A1A"/>
          <w:sz w:val="21"/>
          <w:szCs w:val="21"/>
        </w:rPr>
        <w:t xml:space="preserve">Sumit Firke, Founder &amp; CEO, Dentfluence</w:t>
      </w:r>
    </w:p>
    <w:p>
      <w:pPr>
        <w:spacing w:after="70"/>
      </w:pPr>
      <w:r>
        <w:rPr>
          <w:color w:val="6B6470"/>
          <w:sz w:val="21"/>
          <w:szCs w:val="21"/>
        </w:rPr>
        <w:t xml:space="preserve">Prepared as:  </w:t>
      </w:r>
      <w:r>
        <w:rPr>
          <w:color w:val="1A1A1A"/>
          <w:sz w:val="21"/>
          <w:szCs w:val="21"/>
        </w:rPr>
        <w:t xml:space="preserve">Independent software-architecture / CTO-level review</w:t>
      </w:r>
    </w:p>
    <w:p>
      <w:pPr>
        <w:spacing w:after="70"/>
      </w:pPr>
      <w:r>
        <w:rPr>
          <w:color w:val="6B6470"/>
          <w:sz w:val="21"/>
          <w:szCs w:val="21"/>
        </w:rPr>
        <w:t xml:space="preserve">Grounded in:  </w:t>
      </w:r>
      <w:r>
        <w:rPr>
          <w:color w:val="1A1A1A"/>
          <w:sz w:val="21"/>
          <w:szCs w:val="21"/>
        </w:rPr>
        <w:t xml:space="preserve">Dentfluence_Master_Register_Dashboard.html — 90 tracked nodes, snapshot 2026-08-01</w:t>
      </w:r>
    </w:p>
    <w:p>
      <w:pPr>
        <w:spacing w:after="70"/>
      </w:pPr>
      <w:r>
        <w:rPr>
          <w:color w:val="6B6470"/>
          <w:sz w:val="21"/>
          <w:szCs w:val="21"/>
        </w:rPr>
        <w:t xml:space="preserve">Scope:  </w:t>
      </w:r>
      <w:r>
        <w:rPr>
          <w:color w:val="1A1A1A"/>
          <w:sz w:val="21"/>
          <w:szCs w:val="21"/>
        </w:rPr>
        <w:t xml:space="preserve">Governance and taxonomy only. No implementation code in this document, by instruction.</w:t>
      </w:r>
    </w:p>
    <w:p>
      <w:r>
        <w:br w:type="page"/>
      </w:r>
    </w:p>
    <w:p>
      <w:pPr>
        <w:pStyle w:val="Heading1"/>
        <w:spacing w:after="170" w:before="420"/>
      </w:pPr>
      <w:r>
        <w:t xml:space="preserve">0. Executive Summary</w:t>
      </w:r>
    </w:p>
    <w:p>
      <w:pPr>
        <w:spacing w:after="220" w:line="300"/>
      </w:pPr>
      <w:r>
        <w:rPr>
          <w:i/>
          <w:iCs/>
          <w:color w:val="6B6470"/>
          <w:sz w:val="22"/>
          <w:szCs w:val="22"/>
        </w:rPr>
        <w:t xml:space="preserve">Verdict: the direction is right. The current register already proves the problem — every node, parent or child, carries an identical 11-stage checklist with no distinction between the two. That is not a hypothetical risk; it is visible today in Dentfluence_Master_Register_Dashboard.html, where "Consultations" (a container) and "Standard Consultation" (real engineering) are tracked as structurally identical objects.</w:t>
      </w:r>
    </w:p>
    <w:p>
      <w:pPr>
        <w:spacing w:after="150" w:line="288"/>
      </w:pPr>
      <w:r>
        <w:rPr>
          <w:b w:val="false"/>
          <w:bCs w:val="false"/>
          <w:i w:val="false"/>
          <w:iCs w:val="false"/>
          <w:color w:val="1A1A1A"/>
          <w:sz w:val="21"/>
          <w:szCs w:val="21"/>
        </w:rPr>
        <w:t xml:space="preserve">This document does not simply agree with the proposal as written. Five real weaknesses are identified below — freeze-as-absolute, missing size weighting, an undefined parent-status formula, no home for cross-cutting work, and an illusion of independence that the org chart cannot enforce at the code level. Each is paired with a specific fix. The redesigned schema in Section 5 incorporates all five fixes; it is not a restatement of the original proposal.</w:t>
      </w:r>
    </w:p>
    <w:tbl>
      <w:tblPr>
        <w:tblW w:type="dxa" w:w="9350"/>
        <w:tblBorders>
          <w:top w:val="single" w:color="702070" w:sz="4"/>
          <w:left w:val="single" w:color="702070" w:sz="28"/>
          <w:bottom w:val="single" w:color="702070" w:sz="4"/>
          <w:right w:val="single" w:color="702070" w:sz="4"/>
          <w:insideH w:val="none" w:color="FFFFFF" w:sz="0"/>
          <w:insideV w:val="none" w:color="FFFFFF" w:sz="0"/>
        </w:tblBorders>
      </w:tblPr>
      <w:tblGrid>
        <w:gridCol w:w="9350"/>
      </w:tblGrid>
      <w:tr>
        <w:tc>
          <w:tcPr>
            <w:tcW w:type="dxa" w:w="9350"/>
            <w:shd w:fill="FAF7F2" w:val="clear"/>
            <w:tcMar>
              <w:top w:type="dxa" w:w="170"/>
              <w:left w:type="dxa" w:w="230"/>
              <w:bottom w:type="dxa" w:w="170"/>
              <w:right w:type="dxa" w:w="230"/>
            </w:tcMar>
          </w:tcPr>
          <w:p>
            <w:pPr>
              <w:spacing w:after="70"/>
            </w:pPr>
            <w:r>
              <w:rPr>
                <w:b/>
                <w:bCs/>
                <w:color w:val="702070"/>
                <w:spacing w:val="14"/>
                <w:sz w:val="19"/>
                <w:szCs w:val="19"/>
              </w:rPr>
              <w:t xml:space="preserve">BOTTOM LINE</w:t>
            </w:r>
          </w:p>
          <w:p>
            <w:pPr>
              <w:spacing w:after="0" w:line="280"/>
            </w:pPr>
            <w:r>
              <w:rPr>
                <w:color w:val="1A1A1A"/>
                <w:sz w:val="20"/>
                <w:szCs w:val="20"/>
              </w:rPr>
              <w:t xml:space="preserve">Adopt Domain → Module → Child Module → (Feature) → Task, exactly as proposed, but with: size-tiered checklists, an explicit and size-weighted status-derivation formula, an "Out of Scope / Future" child state excluded from roll-ups, a "Shared Foundation" concept per Module that must freeze before any child starts, a Frozen-Amendment process instead of an absolute freeze, and a Cross-Cutting Program object that lives outside the tree. Section 5 is the buildable spec.</w:t>
            </w:r>
          </w:p>
        </w:tc>
      </w:tr>
    </w:tbl>
    <w:p>
      <w:pPr>
        <w:pStyle w:val="Heading1"/>
        <w:spacing w:after="170" w:before="420"/>
      </w:pPr>
      <w:r>
        <w:t xml:space="preserve">1. What the Current Register Already Proves</w:t>
      </w:r>
    </w:p>
    <w:p>
      <w:pPr>
        <w:spacing w:after="150" w:line="288"/>
      </w:pPr>
      <w:r>
        <w:rPr>
          <w:b w:val="false"/>
          <w:bCs w:val="false"/>
          <w:i w:val="false"/>
          <w:iCs w:val="false"/>
          <w:color w:val="1A1A1A"/>
          <w:sz w:val="21"/>
          <w:szCs w:val="21"/>
        </w:rPr>
        <w:t xml:space="preserve">Before evaluating the proposal in the abstract, it is worth naming the concrete defect in the file you attached, because it is the strongest argument in favor of the change.</w:t>
      </w:r>
    </w:p>
    <w:p>
      <w:pPr>
        <w:pStyle w:val="ListParagraph"/>
        <w:numPr>
          <w:ilvl w:val="0"/>
          <w:numId w:val="2"/>
        </w:numPr>
        <w:spacing w:after="110" w:line="276"/>
      </w:pPr>
      <w:r>
        <w:rPr>
          <w:b/>
          <w:bCs/>
          <w:color w:val="702070"/>
          <w:sz w:val="21"/>
          <w:szCs w:val="21"/>
        </w:rPr>
        <w:t xml:space="preserve">Flat checklist model — </w:t>
      </w:r>
      <w:r>
        <w:rPr>
          <w:color w:val="1A1A1A"/>
          <w:sz w:val="21"/>
          <w:szCs w:val="21"/>
        </w:rPr>
        <w:t xml:space="preserve">getChecklist(id) is called identically for every entry in NODES — parent or child. "Patients" (a domain container with 6 children) and "Duplicate Merge" (one real feature) both get their own independent 11-stage Audit→Production Ready checklist, tracked and displayed the same way.</w:t>
      </w:r>
    </w:p>
    <w:p>
      <w:pPr>
        <w:pStyle w:val="ListParagraph"/>
        <w:numPr>
          <w:ilvl w:val="0"/>
          <w:numId w:val="2"/>
        </w:numPr>
        <w:spacing w:after="110" w:line="276"/>
      </w:pPr>
      <w:r>
        <w:rPr>
          <w:b/>
          <w:bCs/>
          <w:color w:val="702070"/>
          <w:sz w:val="21"/>
          <w:szCs w:val="21"/>
        </w:rPr>
        <w:t xml:space="preserve">No derivation logic — </w:t>
      </w:r>
      <w:r>
        <w:rPr>
          <w:color w:val="1A1A1A"/>
          <w:sz w:val="21"/>
          <w:szCs w:val="21"/>
        </w:rPr>
        <w:t xml:space="preserve">renderOverview() sums progress across all 90 nodes with equal weight. A parent's percentage is whatever someone manually checked for that parent row — it has no arithmetic relationship to its children's percentages. Two nodes can silently disagree (a parent shown as 100% while its children show 40%, or the reverse) with no validation catching it.</w:t>
      </w:r>
    </w:p>
    <w:p>
      <w:pPr>
        <w:pStyle w:val="ListParagraph"/>
        <w:numPr>
          <w:ilvl w:val="0"/>
          <w:numId w:val="2"/>
        </w:numPr>
        <w:spacing w:after="110" w:line="276"/>
      </w:pPr>
      <w:r>
        <w:rPr>
          <w:b/>
          <w:bCs/>
          <w:color w:val="702070"/>
          <w:sz w:val="21"/>
          <w:szCs w:val="21"/>
        </w:rPr>
        <w:t xml:space="preserve">Inconsistent decomposition — </w:t>
      </w:r>
      <w:r>
        <w:rPr>
          <w:color w:val="1A1A1A"/>
          <w:sz w:val="21"/>
          <w:szCs w:val="21"/>
        </w:rPr>
        <w:t xml:space="preserve">Some modules are already broken into real children (Patients: 6, Prescriptions: 3, Finance: 6). Others — Tasks, Practice Protocols, Daily Huddle, Reports, Notifications, Help, HQ Superadmin — have zero children in the register today, meaning they are currently tracked at exactly the coarse "parent-as-engineering-unit" level the proposal wants to eliminate.</w:t>
      </w:r>
    </w:p>
    <w:p>
      <w:pPr>
        <w:pStyle w:val="ListParagraph"/>
        <w:numPr>
          <w:ilvl w:val="0"/>
          <w:numId w:val="2"/>
        </w:numPr>
        <w:spacing w:after="110" w:line="276"/>
      </w:pPr>
      <w:r>
        <w:rPr>
          <w:b/>
          <w:bCs/>
          <w:color w:val="702070"/>
          <w:sz w:val="21"/>
          <w:szCs w:val="21"/>
        </w:rPr>
        <w:t xml:space="preserve">Directive #004 exposes the real cost — </w:t>
      </w:r>
      <w:r>
        <w:rPr>
          <w:color w:val="1A1A1A"/>
          <w:sz w:val="21"/>
          <w:szCs w:val="21"/>
        </w:rPr>
        <w:t xml:space="preserve">Project memory records Consultations as "68% complete, 20 ranked blockers" — one number for a domain that, per your own example, should really be ten independently-tracked children (Standard, Same-Issue, Minor, Emergency, COHA, Printing, Prescription, Follow-up, Voice, AI Consultation). A single 68% figure cannot tell you whether Standard Consultation is nearly shippable while Voice Consultation hasn't been scoped — which is precisely the ambiguity that has kept Consultations the #1 blocker for months.</w:t>
      </w:r>
    </w:p>
    <w:p>
      <w:pPr>
        <w:spacing w:after="150" w:line="288"/>
      </w:pPr>
      <w:r>
        <w:rPr>
          <w:b w:val="false"/>
          <w:bCs w:val="false"/>
          <w:i w:val="false"/>
          <w:iCs w:val="false"/>
          <w:color w:val="1A1A1A"/>
          <w:sz w:val="21"/>
          <w:szCs w:val="21"/>
        </w:rPr>
        <w:t xml:space="preserve">This confirms the proposal is solving a real, already-visible problem, not a speculative one.</w:t>
      </w:r>
    </w:p>
    <w:p>
      <w:r>
        <w:br w:type="page"/>
      </w:r>
    </w:p>
    <w:p>
      <w:pPr>
        <w:pStyle w:val="Heading1"/>
        <w:spacing w:after="170" w:before="420"/>
      </w:pPr>
      <w:r>
        <w:t xml:space="preserve">2. Critical Review of the Proposed Model</w:t>
      </w:r>
    </w:p>
    <w:p>
      <w:pPr>
        <w:pStyle w:val="Heading2"/>
        <w:spacing w:after="130" w:before="300"/>
      </w:pPr>
      <w:r>
        <w:t xml:space="preserve">2.1 Advantages</w:t>
      </w:r>
    </w:p>
    <w:p>
      <w:pPr>
        <w:pStyle w:val="ListParagraph"/>
        <w:numPr>
          <w:ilvl w:val="0"/>
          <w:numId w:val="2"/>
        </w:numPr>
        <w:spacing w:after="100" w:line="276"/>
      </w:pPr>
      <w:r>
        <w:rPr>
          <w:b w:val="false"/>
          <w:bCs w:val="false"/>
          <w:color w:val="1A1A1A"/>
          <w:sz w:val="21"/>
          <w:szCs w:val="21"/>
        </w:rPr>
        <w:t xml:space="preserve">Truthful status reporting. A child module can be Frozen while its siblings are untouched, so a domain's real state is visible instead of averaged into one misleading percentage.</w:t>
      </w:r>
    </w:p>
    <w:p>
      <w:pPr>
        <w:pStyle w:val="ListParagraph"/>
        <w:numPr>
          <w:ilvl w:val="0"/>
          <w:numId w:val="2"/>
        </w:numPr>
        <w:spacing w:after="100" w:line="276"/>
      </w:pPr>
      <w:r>
        <w:rPr>
          <w:b w:val="false"/>
          <w:bCs w:val="false"/>
          <w:color w:val="1A1A1A"/>
          <w:sz w:val="21"/>
          <w:szCs w:val="21"/>
        </w:rPr>
        <w:t xml:space="preserve">Matches how the codebase is already shaped. Consultations' own "Standard Consultation" tab list — Chief Complaint, Diagnosis, Investigations, Photographs, Scans, Treatment Advised, Prescription, Follow-up — is already a set of near-independent concerns living inside one Blade view. The proposal formalizes a decomposition the code is already straining toward.</w:t>
      </w:r>
    </w:p>
    <w:p>
      <w:pPr>
        <w:pStyle w:val="ListParagraph"/>
        <w:numPr>
          <w:ilvl w:val="0"/>
          <w:numId w:val="2"/>
        </w:numPr>
        <w:spacing w:after="100" w:line="276"/>
      </w:pPr>
      <w:r>
        <w:rPr>
          <w:b w:val="false"/>
          <w:bCs w:val="false"/>
          <w:color w:val="1A1A1A"/>
          <w:sz w:val="21"/>
          <w:szCs w:val="21"/>
        </w:rPr>
        <w:t xml:space="preserve">Enables real parallel ownership. One engineer or agent per child module, without two people editing the same controller in the same week.</w:t>
      </w:r>
    </w:p>
    <w:p>
      <w:pPr>
        <w:pStyle w:val="ListParagraph"/>
        <w:numPr>
          <w:ilvl w:val="0"/>
          <w:numId w:val="2"/>
        </w:numPr>
        <w:spacing w:after="100" w:line="276"/>
      </w:pPr>
      <w:r>
        <w:rPr>
          <w:b w:val="false"/>
          <w:bCs w:val="false"/>
          <w:color w:val="1A1A1A"/>
          <w:sz w:val="21"/>
          <w:szCs w:val="21"/>
        </w:rPr>
        <w:t xml:space="preserve">Freeze discipline extends a pattern that already works. Patients and Inventory are already frozen at the module level and have stayed stable — the proposal pushes that same discipline one level deeper, to the unit size where it is actually enforceable.</w:t>
      </w:r>
    </w:p>
    <w:p>
      <w:pPr>
        <w:pStyle w:val="ListParagraph"/>
        <w:numPr>
          <w:ilvl w:val="0"/>
          <w:numId w:val="2"/>
        </w:numPr>
        <w:spacing w:after="100" w:line="276"/>
      </w:pPr>
      <w:r>
        <w:rPr>
          <w:b w:val="false"/>
          <w:bCs w:val="false"/>
          <w:color w:val="1A1A1A"/>
          <w:sz w:val="21"/>
          <w:szCs w:val="21"/>
        </w:rPr>
        <w:t xml:space="preserve">Better substrate for AI-assisted and future multi-agent development — addressed fully in Section 4.</w:t>
      </w:r>
    </w:p>
    <w:p>
      <w:pPr>
        <w:pStyle w:val="Heading2"/>
        <w:spacing w:after="130" w:before="300"/>
      </w:pPr>
      <w:r>
        <w:t xml:space="preserve">2.2 Weaknesses — where the proposal, as written, will break</w:t>
      </w:r>
    </w:p>
    <w:p>
      <w:pPr>
        <w:pStyle w:val="Heading3"/>
        <w:spacing w:after="100" w:before="220"/>
      </w:pPr>
      <w:r>
        <w:t xml:space="preserve">Weakness 1: "Frozen = never touched" is not survivable</w:t>
      </w:r>
    </w:p>
    <w:p>
      <w:pPr>
        <w:spacing w:after="150" w:line="288"/>
      </w:pPr>
      <w:r>
        <w:rPr>
          <w:b w:val="false"/>
          <w:bCs w:val="false"/>
          <w:i w:val="false"/>
          <w:iCs w:val="false"/>
          <w:color w:val="1A1A1A"/>
          <w:sz w:val="21"/>
          <w:szCs w:val="21"/>
        </w:rPr>
        <w:t xml:space="preserve">Frozen modules still need security patches, framework upgrades, and schema changes when a sibling module needs a new column on a frozen module's table. An absolute freeze rule will be informally broken within weeks, and every violation will quietly erode trust in the word "Frozen" itself.</w:t>
      </w:r>
    </w:p>
    <w:p>
      <w:pPr>
        <w:pStyle w:val="ListParagraph"/>
        <w:numPr>
          <w:ilvl w:val="0"/>
          <w:numId w:val="2"/>
        </w:numPr>
        <w:spacing w:after="110" w:line="276"/>
      </w:pPr>
      <w:r>
        <w:rPr>
          <w:b/>
          <w:bCs/>
          <w:color w:val="702070"/>
          <w:sz w:val="21"/>
          <w:szCs w:val="21"/>
        </w:rPr>
        <w:t xml:space="preserve">Fix — </w:t>
      </w:r>
      <w:r>
        <w:rPr>
          <w:color w:val="1A1A1A"/>
          <w:sz w:val="21"/>
          <w:szCs w:val="21"/>
        </w:rPr>
        <w:t xml:space="preserve">Redefine Frozen as "closed to new engineering scope," not "closed to all changes." Add a lightweight Frozen-Amendment process, restricted to three reason codes: Security, Compliance, Shared-Schema-Migration. Every amendment is logged with a reason and date directly on the child module's record (see Section 5.4).</w:t>
      </w:r>
    </w:p>
    <w:p>
      <w:pPr>
        <w:pStyle w:val="Heading3"/>
        <w:spacing w:after="100" w:before="220"/>
      </w:pPr>
      <w:r>
        <w:t xml:space="preserve">Weakness 2: No size weighting — a 2-hour task and a 6-week workflow look identical</w:t>
      </w:r>
    </w:p>
    <w:p>
      <w:pPr>
        <w:spacing w:after="150" w:line="288"/>
      </w:pPr>
      <w:r>
        <w:rPr>
          <w:b w:val="false"/>
          <w:bCs w:val="false"/>
          <w:i w:val="false"/>
          <w:iCs w:val="false"/>
          <w:color w:val="1A1A1A"/>
          <w:sz w:val="21"/>
          <w:szCs w:val="21"/>
        </w:rPr>
        <w:t xml:space="preserve">"Printing" and "Standard Consultation" (11 tabs of clinical workflow) would sit as peer nodes with identical 11-stage checklists. A domain with nine trivial children and one enormous one will report a misleadingly high percentage the moment the nine small ones finish, even though the real work — the large one — hasn't moved.</w:t>
      </w:r>
    </w:p>
    <w:p>
      <w:pPr>
        <w:pStyle w:val="ListParagraph"/>
        <w:numPr>
          <w:ilvl w:val="0"/>
          <w:numId w:val="2"/>
        </w:numPr>
        <w:spacing w:after="110" w:line="276"/>
      </w:pPr>
      <w:r>
        <w:rPr>
          <w:b/>
          <w:bCs/>
          <w:color w:val="702070"/>
          <w:sz w:val="21"/>
          <w:szCs w:val="21"/>
        </w:rPr>
        <w:t xml:space="preserve">Fix — </w:t>
      </w:r>
      <w:r>
        <w:rPr>
          <w:color w:val="1A1A1A"/>
          <w:sz w:val="21"/>
          <w:szCs w:val="21"/>
        </w:rPr>
        <w:t xml:space="preserve">Add a Size Tier (S / M / L / XL) to every child module. Parent roll-up is weighted by tier, not by simple node count (Section 5.3). Checklist rigor also scales with tier — a 5-gate lightweight checklist for S-tier, the full 11-gate checklist for M/L/XL (Section 5.5).</w:t>
      </w:r>
    </w:p>
    <w:p>
      <w:pPr>
        <w:pStyle w:val="Heading3"/>
        <w:spacing w:after="100" w:before="220"/>
      </w:pPr>
      <w:r>
        <w:t xml:space="preserve">Weakness 3: The parent-status formula is undefined</w:t>
      </w:r>
    </w:p>
    <w:p>
      <w:pPr>
        <w:spacing w:after="150" w:line="288"/>
      </w:pPr>
      <w:r>
        <w:rPr>
          <w:b w:val="false"/>
          <w:bCs w:val="false"/>
          <w:i w:val="false"/>
          <w:iCs w:val="false"/>
          <w:color w:val="1A1A1A"/>
          <w:sz w:val="21"/>
          <w:szCs w:val="21"/>
        </w:rPr>
        <w:t xml:space="preserve">The proposal's own example — "Consultations: 2/10 Child Modules Frozen" — implies a simple fraction, but doesn't say what happens to a child that hasn't been scoped yet, or one that is explicitly future/out-of-scope (Voice and AI Consultation are both frozen out of V1 by Directive #004, which forbids AI/Voice work until Consultations, Treatment Plans, Visits, Appointments, Rx, Billing and Follow-up are production-validated). Counting an intentionally-deferred child in the denominator makes a domain permanently look incomplete for a decision that was made on purpose.</w:t>
      </w:r>
    </w:p>
    <w:p>
      <w:pPr>
        <w:pStyle w:val="ListParagraph"/>
        <w:numPr>
          <w:ilvl w:val="0"/>
          <w:numId w:val="2"/>
        </w:numPr>
        <w:spacing w:after="110" w:line="276"/>
      </w:pPr>
      <w:r>
        <w:rPr>
          <w:b/>
          <w:bCs/>
          <w:color w:val="702070"/>
          <w:sz w:val="21"/>
          <w:szCs w:val="21"/>
        </w:rPr>
        <w:t xml:space="preserve">Fix — </w:t>
      </w:r>
      <w:r>
        <w:rPr>
          <w:color w:val="1A1A1A"/>
          <w:sz w:val="21"/>
          <w:szCs w:val="21"/>
        </w:rPr>
        <w:t xml:space="preserve">An explicit, size-weighted formula with an "Out of Scope / Future" state excluded from the calculation entirely (Section 5.3).</w:t>
      </w:r>
    </w:p>
    <w:p>
      <w:pPr>
        <w:pStyle w:val="Heading3"/>
        <w:spacing w:after="100" w:before="220"/>
      </w:pPr>
      <w:r>
        <w:t xml:space="preserve">Weakness 4: Independence is a task-tracking fact, not a code fact</w:t>
      </w:r>
    </w:p>
    <w:p>
      <w:pPr>
        <w:spacing w:after="150" w:line="288"/>
      </w:pPr>
      <w:r>
        <w:rPr>
          <w:b w:val="false"/>
          <w:bCs w:val="false"/>
          <w:i w:val="false"/>
          <w:iCs w:val="false"/>
          <w:color w:val="1A1A1A"/>
          <w:sz w:val="21"/>
          <w:szCs w:val="21"/>
        </w:rPr>
        <w:t xml:space="preserve">Treatment Visits and Treatment Plans are two separate top-level modules today, and project memory already records a structural gap between them (treatment_visits has no treatment_plan_id foreign key). The tree the proposal describes is a management view; it does not, by itself, prevent two child modules — even under different parents — from silently sharing a table, a service class, or a Blade partial. "Engineer A → Minor Visit" and "Engineer B → COHA" can both be editing the same underlying Consultation base model in the same week with the org chart showing no conflict at all.</w:t>
      </w:r>
    </w:p>
    <w:p>
      <w:pPr>
        <w:pStyle w:val="ListParagraph"/>
        <w:numPr>
          <w:ilvl w:val="0"/>
          <w:numId w:val="2"/>
        </w:numPr>
        <w:spacing w:after="110" w:line="276"/>
      </w:pPr>
      <w:r>
        <w:rPr>
          <w:b/>
          <w:bCs/>
          <w:color w:val="702070"/>
          <w:sz w:val="21"/>
          <w:szCs w:val="21"/>
        </w:rPr>
        <w:t xml:space="preserve">Fix — </w:t>
      </w:r>
      <w:r>
        <w:rPr>
          <w:color w:val="1A1A1A"/>
          <w:sz w:val="21"/>
          <w:szCs w:val="21"/>
        </w:rPr>
        <w:t xml:space="preserve">A declared Shared Foundation per Module (the schema, base service, and shared views that every child of that module depends on) which must itself reach Frozen status before any child module is allowed to leave "Not Started." Children may extend the foundation; they may not modify it unilaterally once frozen (Section 5.2). Dependencies must be declared per child module and rendered as a graph, not just a tree — a tree cannot represent "Prescription (child of Consultations) also depends on Prescriptions (a separate top-level module)."</w:t>
      </w:r>
    </w:p>
    <w:p>
      <w:pPr>
        <w:pStyle w:val="Heading3"/>
        <w:spacing w:after="100" w:before="220"/>
      </w:pPr>
      <w:r>
        <w:t xml:space="preserve">Weakness 5: No home for work that cuts across every child module</w:t>
      </w:r>
    </w:p>
    <w:p>
      <w:pPr>
        <w:spacing w:after="150" w:line="288"/>
      </w:pPr>
      <w:r>
        <w:rPr>
          <w:b w:val="false"/>
          <w:bCs w:val="false"/>
          <w:i w:val="false"/>
          <w:iCs w:val="false"/>
          <w:color w:val="1A1A1A"/>
          <w:sz w:val="21"/>
          <w:szCs w:val="21"/>
        </w:rPr>
        <w:t xml:space="preserve">Multi-tenant / clinic_id isolation, mobile-web parity, and DPDP compliance retention rules all touch dozens of child modules simultaneously. None of them belong inside any single Domain → Module → Child branch, and forcing them in will produce exactly the kind of awkward, misfiled work item the project has already flagged as a recurring problem (encryption/access hardening was parked specifically because clinic_id isolation cuts across the entire schema).</w:t>
      </w:r>
    </w:p>
    <w:p>
      <w:pPr>
        <w:pStyle w:val="ListParagraph"/>
        <w:numPr>
          <w:ilvl w:val="0"/>
          <w:numId w:val="2"/>
        </w:numPr>
        <w:spacing w:after="110" w:line="276"/>
      </w:pPr>
      <w:r>
        <w:rPr>
          <w:b/>
          <w:bCs/>
          <w:color w:val="702070"/>
          <w:sz w:val="21"/>
          <w:szCs w:val="21"/>
        </w:rPr>
        <w:t xml:space="preserve">Fix — </w:t>
      </w:r>
      <w:r>
        <w:rPr>
          <w:color w:val="1A1A1A"/>
          <w:sz w:val="21"/>
          <w:szCs w:val="21"/>
        </w:rPr>
        <w:t xml:space="preserve">A Cross-Cutting Program object, structurally outside the Domain tree, with a many-to-many link to the specific child modules it touches (Section 5.6). It never appears in any single module's freeze percentage.</w:t>
      </w:r>
    </w:p>
    <w:p>
      <w:pPr>
        <w:pStyle w:val="Heading2"/>
        <w:spacing w:after="130" w:before="300"/>
      </w:pPr>
      <w:r>
        <w:t xml:space="preserve">2.3 Additional risk: governance overhead vs. actual team size</w:t>
      </w:r>
    </w:p>
    <w:p>
      <w:pPr>
        <w:spacing w:after="150" w:line="288"/>
      </w:pPr>
      <w:r>
        <w:rPr>
          <w:b w:val="false"/>
          <w:bCs w:val="false"/>
          <w:i w:val="false"/>
          <w:iCs w:val="false"/>
          <w:color w:val="1A1A1A"/>
          <w:sz w:val="21"/>
          <w:szCs w:val="21"/>
        </w:rPr>
        <w:t xml:space="preserve">Ninety child modules, each carrying its own audit, architecture note, scope statement, ownership record, dependency list, design note, and full engineering checklist, is a realistic governance load for a multi-person engineering org — it is a heavy load for the team Dentfluence has today. The fix is not to abandon the rigor; it is to make the rigor proportional. An S-tier child module ("Printing") should require a one-paragraph scope note, not a dedicated architecture document. That proportionality is built into the Size Tier field (Section 5.3) so the model doesn't collapse under its own paperwork the moment it's adopted at full scope.</w:t>
      </w:r>
    </w:p>
    <w:p>
      <w:r>
        <w:br w:type="page"/>
      </w:r>
    </w:p>
    <w:p>
      <w:pPr>
        <w:pStyle w:val="Heading1"/>
        <w:spacing w:after="170" w:before="420"/>
      </w:pPr>
      <w:r>
        <w:t xml:space="preserve">3. Long-Term Scalability (10+ Year View)</w:t>
      </w:r>
    </w:p>
    <w:p>
      <w:pPr>
        <w:spacing w:after="150" w:line="288"/>
      </w:pPr>
      <w:r>
        <w:rPr>
          <w:b w:val="false"/>
          <w:bCs w:val="false"/>
          <w:i w:val="false"/>
          <w:iCs w:val="false"/>
          <w:color w:val="1A1A1A"/>
          <w:sz w:val="21"/>
          <w:szCs w:val="21"/>
        </w:rPr>
        <w:t xml:space="preserve">The model scales well for organizing work — backlog, reporting, assignment — across a growing team, and it degrades gracefully rather than catastrophically as headcount grows, provided the five fixes above are adopted. It does not, by itself, solve two things that will matter at scale:</w:t>
      </w:r>
    </w:p>
    <w:p>
      <w:pPr>
        <w:pStyle w:val="ListParagraph"/>
        <w:numPr>
          <w:ilvl w:val="0"/>
          <w:numId w:val="2"/>
        </w:numPr>
        <w:spacing w:after="100" w:line="276"/>
      </w:pPr>
      <w:r>
        <w:rPr>
          <w:b w:val="false"/>
          <w:bCs w:val="false"/>
          <w:color w:val="1A1A1A"/>
          <w:sz w:val="21"/>
          <w:szCs w:val="21"/>
        </w:rPr>
        <w:t xml:space="preserve">Cross-cutting change. As Section 2.2 (Weakness 5) describes, multi-clinic expansion, mobile parity, and compliance work cut across the whole tree. Solved by the Cross-Cutting Program object, not by the tree itself.</w:t>
      </w:r>
    </w:p>
    <w:p>
      <w:pPr>
        <w:pStyle w:val="ListParagraph"/>
        <w:numPr>
          <w:ilvl w:val="0"/>
          <w:numId w:val="2"/>
        </w:numPr>
        <w:spacing w:after="100" w:line="276"/>
      </w:pPr>
      <w:r>
        <w:rPr>
          <w:b w:val="false"/>
          <w:bCs w:val="false"/>
          <w:color w:val="1A1A1A"/>
          <w:sz w:val="21"/>
          <w:szCs w:val="21"/>
        </w:rPr>
        <w:t xml:space="preserve">Shared foundations drifting apart. If ten child modules under Consultations each quietly patch the shared Consultation base model to suit themselves, "independent ownership" becomes ten divergent forks of the same table. Solved by freezing the Shared Foundation first and gating child work behind that freeze (Section 5.2).</w:t>
      </w:r>
    </w:p>
    <w:p>
      <w:pPr>
        <w:spacing w:after="150" w:line="288"/>
      </w:pPr>
      <w:r>
        <w:rPr>
          <w:b w:val="false"/>
          <w:bCs w:val="false"/>
          <w:i w:val="false"/>
          <w:iCs w:val="false"/>
          <w:color w:val="1A1A1A"/>
          <w:sz w:val="21"/>
          <w:szCs w:val="21"/>
        </w:rPr>
        <w:t xml:space="preserve">With those two additions, the model is a reasonable bet for a decade of growth: it can absorb new Domains (a future "Insurance" or "Marketplace" domain slots in without restructuring anything above it), new Modules within a Domain, and new Child Modules within a Module, without ever requiring the existing tree to be re-shaped.</w:t>
      </w:r>
    </w:p>
    <w:p>
      <w:pPr>
        <w:pStyle w:val="Heading1"/>
        <w:spacing w:after="170" w:before="420"/>
      </w:pPr>
      <w:r>
        <w:t xml:space="preserve">4. Industry Comparison and Multi-Agent AI Readiness</w:t>
      </w:r>
    </w:p>
    <w:p>
      <w:pPr>
        <w:pStyle w:val="Heading2"/>
        <w:spacing w:after="130" w:before="300"/>
      </w:pPr>
      <w:r>
        <w:t xml:space="preserve">4.1 Does this resemble how large companies organize engineering?</w:t>
      </w:r>
    </w:p>
    <w:p>
      <w:pPr>
        <w:spacing w:after="150" w:line="288"/>
      </w:pPr>
      <w:r>
        <w:rPr>
          <w:b w:val="false"/>
          <w:bCs w:val="false"/>
          <w:i w:val="false"/>
          <w:iCs w:val="false"/>
          <w:color w:val="1A1A1A"/>
          <w:sz w:val="21"/>
          <w:szCs w:val="21"/>
        </w:rPr>
        <w:t xml:space="preserve">Yes — but it resembles some more than others, and the differences matter.</w:t>
      </w:r>
    </w:p>
    <w:tbl>
      <w:tblPr>
        <w:tblW w:type="dxa" w:w="9350"/>
        <w:tblBorders>
          <w:top w:val="single" w:color="E8E3E8" w:sz="4"/>
          <w:left w:val="single" w:color="E8E3E8" w:sz="4"/>
          <w:bottom w:val="single" w:color="E8E3E8" w:sz="4"/>
          <w:right w:val="single" w:color="E8E3E8" w:sz="4"/>
          <w:insideH w:val="single" w:color="E8E3E8" w:sz="4"/>
          <w:insideV w:val="single" w:color="E8E3E8" w:sz="4"/>
        </w:tblBorders>
      </w:tblPr>
      <w:tblGrid>
        <w:gridCol w:w="2700"/>
        <w:gridCol w:w="6650"/>
      </w:tblGrid>
      <w:tr>
        <w:trPr>
          <w:tblHeader/>
        </w:trPr>
        <w:tc>
          <w:tcPr>
            <w:tcW w:type="dxa" w:w="2700"/>
            <w:shd w:fill="702070" w:val="clear"/>
            <w:tcMar>
              <w:top w:type="dxa" w:w="100"/>
              <w:left w:type="dxa" w:w="120"/>
              <w:bottom w:type="dxa" w:w="100"/>
              <w:right w:type="dxa" w:w="120"/>
            </w:tcMar>
            <w:vAlign w:val="center"/>
          </w:tcPr>
          <w:p>
            <w:r>
              <w:rPr>
                <w:b/>
                <w:bCs/>
                <w:color w:val="FFFFFF"/>
                <w:sz w:val="19"/>
                <w:szCs w:val="19"/>
              </w:rPr>
              <w:t xml:space="preserve">Company</w:t>
            </w:r>
          </w:p>
        </w:tc>
        <w:tc>
          <w:tcPr>
            <w:tcW w:type="dxa" w:w="6650"/>
            <w:shd w:fill="702070" w:val="clear"/>
            <w:tcMar>
              <w:top w:type="dxa" w:w="100"/>
              <w:left w:type="dxa" w:w="120"/>
              <w:bottom w:type="dxa" w:w="100"/>
              <w:right w:type="dxa" w:w="120"/>
            </w:tcMar>
            <w:vAlign w:val="center"/>
          </w:tcPr>
          <w:p>
            <w:r>
              <w:rPr>
                <w:b/>
                <w:bCs/>
                <w:color w:val="FFFFFF"/>
                <w:sz w:val="19"/>
                <w:szCs w:val="19"/>
              </w:rPr>
              <w:t xml:space="preserve">How it maps to this proposal</w:t>
            </w:r>
          </w:p>
        </w:tc>
      </w:tr>
      <w:tr>
        <w:tc>
          <w:tcPr>
            <w:tcW w:type="dxa" w:w="2700"/>
            <w:tcMar>
              <w:top w:type="dxa" w:w="100"/>
              <w:left w:type="dxa" w:w="120"/>
              <w:bottom w:type="dxa" w:w="100"/>
              <w:right w:type="dxa" w:w="120"/>
            </w:tcMar>
            <w:vAlign w:val="center"/>
          </w:tcPr>
          <w:p>
            <w:r>
              <w:rPr>
                <w:b w:val="false"/>
                <w:bCs w:val="false"/>
                <w:color w:val="1A1A1A"/>
                <w:sz w:val="19"/>
                <w:szCs w:val="19"/>
              </w:rPr>
              <w:t xml:space="preserve">Linear / Shopify</w:t>
            </w:r>
          </w:p>
        </w:tc>
        <w:tc>
          <w:tcPr>
            <w:tcW w:type="dxa" w:w="6650"/>
            <w:tcMar>
              <w:top w:type="dxa" w:w="100"/>
              <w:left w:type="dxa" w:w="120"/>
              <w:bottom w:type="dxa" w:w="100"/>
              <w:right w:type="dxa" w:w="120"/>
            </w:tcMar>
            <w:vAlign w:val="center"/>
          </w:tcPr>
          <w:p>
            <w:r>
              <w:rPr>
                <w:b w:val="false"/>
                <w:bCs w:val="false"/>
                <w:color w:val="1A1A1A"/>
                <w:sz w:val="19"/>
                <w:szCs w:val="19"/>
              </w:rPr>
              <w:t xml:space="preserve">Closest match. Small, independently-shippable units under a domain, each with its own lifecycle — structurally the same idea as Child Module, and the reason both companies can ship with small teams touching narrow surface area.</w:t>
            </w:r>
          </w:p>
        </w:tc>
      </w:tr>
      <w:tr>
        <w:tc>
          <w:tcPr>
            <w:tcW w:type="dxa" w:w="2700"/>
            <w:shd w:fill="FAF7FA" w:val="clear"/>
            <w:tcMar>
              <w:top w:type="dxa" w:w="100"/>
              <w:left w:type="dxa" w:w="120"/>
              <w:bottom w:type="dxa" w:w="100"/>
              <w:right w:type="dxa" w:w="120"/>
            </w:tcMar>
            <w:vAlign w:val="center"/>
          </w:tcPr>
          <w:p>
            <w:r>
              <w:rPr>
                <w:b w:val="false"/>
                <w:bCs w:val="false"/>
                <w:color w:val="1A1A1A"/>
                <w:sz w:val="19"/>
                <w:szCs w:val="19"/>
              </w:rPr>
              <w:t xml:space="preserve">GitHub</w:t>
            </w:r>
          </w:p>
        </w:tc>
        <w:tc>
          <w:tcPr>
            <w:tcW w:type="dxa" w:w="6650"/>
            <w:shd w:fill="FAF7FA" w:val="clear"/>
            <w:tcMar>
              <w:top w:type="dxa" w:w="100"/>
              <w:left w:type="dxa" w:w="120"/>
              <w:bottom w:type="dxa" w:w="100"/>
              <w:right w:type="dxa" w:w="120"/>
            </w:tcMar>
            <w:vAlign w:val="center"/>
          </w:tcPr>
          <w:p>
            <w:r>
              <w:rPr>
                <w:b w:val="false"/>
                <w:bCs w:val="false"/>
                <w:color w:val="1A1A1A"/>
                <w:sz w:val="19"/>
                <w:szCs w:val="19"/>
              </w:rPr>
              <w:t xml:space="preserve">Feature teams own vertical product slices (Actions, Packages, Codespaces) within one platform — matches Module-as-container with independently-owned children, plus a shared platform layer, which maps directly to this document's Shared Foundation concept.</w:t>
            </w:r>
          </w:p>
        </w:tc>
      </w:tr>
      <w:tr>
        <w:tc>
          <w:tcPr>
            <w:tcW w:type="dxa" w:w="2700"/>
            <w:tcMar>
              <w:top w:type="dxa" w:w="100"/>
              <w:left w:type="dxa" w:w="120"/>
              <w:bottom w:type="dxa" w:w="100"/>
              <w:right w:type="dxa" w:w="120"/>
            </w:tcMar>
            <w:vAlign w:val="center"/>
          </w:tcPr>
          <w:p>
            <w:r>
              <w:rPr>
                <w:b w:val="false"/>
                <w:bCs w:val="false"/>
                <w:color w:val="1A1A1A"/>
                <w:sz w:val="19"/>
                <w:szCs w:val="19"/>
              </w:rPr>
              <w:t xml:space="preserve">Atlassian</w:t>
            </w:r>
          </w:p>
        </w:tc>
        <w:tc>
          <w:tcPr>
            <w:tcW w:type="dxa" w:w="6650"/>
            <w:tcMar>
              <w:top w:type="dxa" w:w="100"/>
              <w:left w:type="dxa" w:w="120"/>
              <w:bottom w:type="dxa" w:w="100"/>
              <w:right w:type="dxa" w:w="120"/>
            </w:tcMar>
            <w:vAlign w:val="center"/>
          </w:tcPr>
          <w:p>
            <w:r>
              <w:rPr>
                <w:b w:val="false"/>
                <w:bCs w:val="false"/>
                <w:color w:val="1A1A1A"/>
                <w:sz w:val="19"/>
                <w:szCs w:val="19"/>
              </w:rPr>
              <w:t xml:space="preserve">Team-per-product with a shared platform layer beneath (design system, identity, billing) — also supports the Shared-Foundation recommendation; without it, Atlassian-style organizations fragment badly.</w:t>
            </w:r>
          </w:p>
        </w:tc>
      </w:tr>
      <w:tr>
        <w:tc>
          <w:tcPr>
            <w:tcW w:type="dxa" w:w="2700"/>
            <w:shd w:fill="FAF7FA" w:val="clear"/>
            <w:tcMar>
              <w:top w:type="dxa" w:w="100"/>
              <w:left w:type="dxa" w:w="120"/>
              <w:bottom w:type="dxa" w:w="100"/>
              <w:right w:type="dxa" w:w="120"/>
            </w:tcMar>
            <w:vAlign w:val="center"/>
          </w:tcPr>
          <w:p>
            <w:r>
              <w:rPr>
                <w:b w:val="false"/>
                <w:bCs w:val="false"/>
                <w:color w:val="1A1A1A"/>
                <w:sz w:val="19"/>
                <w:szCs w:val="19"/>
              </w:rPr>
              <w:t xml:space="preserve">Microsoft (classical)</w:t>
            </w:r>
          </w:p>
        </w:tc>
        <w:tc>
          <w:tcPr>
            <w:tcW w:type="dxa" w:w="6650"/>
            <w:shd w:fill="FAF7FA" w:val="clear"/>
            <w:tcMar>
              <w:top w:type="dxa" w:w="100"/>
              <w:left w:type="dxa" w:w="120"/>
              <w:bottom w:type="dxa" w:w="100"/>
              <w:right w:type="dxa" w:w="120"/>
            </w:tcMar>
            <w:vAlign w:val="center"/>
          </w:tcPr>
          <w:p>
            <w:r>
              <w:rPr>
                <w:b w:val="false"/>
                <w:bCs w:val="false"/>
                <w:color w:val="1A1A1A"/>
                <w:sz w:val="19"/>
                <w:szCs w:val="19"/>
              </w:rPr>
              <w:t xml:space="preserve">The closest analogue to the model being rejected — heavier process, program-manager-driven, parent-org-unit as the planning atom. Moving away from this is the correct instinct for a small, fast-moving team, not a risk.</w:t>
            </w:r>
          </w:p>
        </w:tc>
      </w:tr>
    </w:tbl>
    <w:p>
      <w:pPr>
        <w:spacing w:after="160"/>
      </w:pPr>
    </w:p>
    <w:p>
      <w:pPr>
        <w:spacing w:after="150" w:line="288"/>
      </w:pPr>
      <w:r>
        <w:rPr>
          <w:b w:val="false"/>
          <w:bCs w:val="false"/>
          <w:i w:val="false"/>
          <w:iCs w:val="false"/>
          <w:color w:val="1A1A1A"/>
          <w:sz w:val="21"/>
          <w:szCs w:val="21"/>
        </w:rPr>
        <w:t xml:space="preserve">In short: the proposal is a lightweight version of Domain-Driven Design's "bounded context" pattern, which is the standard scaling approach used by exactly the companies that grew fastest with the smallest teams. That is a point in its favor, not a coincidence.</w:t>
      </w:r>
    </w:p>
    <w:p>
      <w:pPr>
        <w:pStyle w:val="Heading2"/>
        <w:spacing w:after="130" w:before="300"/>
      </w:pPr>
      <w:r>
        <w:t xml:space="preserve">4.2 Will this support future multi-agent AI development?</w:t>
      </w:r>
    </w:p>
    <w:p>
      <w:pPr>
        <w:spacing w:after="150" w:line="288"/>
      </w:pPr>
      <w:r>
        <w:rPr>
          <w:b w:val="false"/>
          <w:bCs w:val="false"/>
          <w:i w:val="false"/>
          <w:iCs w:val="false"/>
          <w:color w:val="1A1A1A"/>
          <w:sz w:val="21"/>
          <w:szCs w:val="21"/>
        </w:rPr>
        <w:t xml:space="preserve">Yes, meaningfully better than the current parent-level model — and for a precise reason: an AI agent is only safe to operate autonomously inside a boundary it can fully hold in context. A Child Module with a stated scope, a declared dependency list, and a frozen Shared Foundation is exactly that boundary. "Own the entire Consultations module" is not a safe unit of autonomous work; "own COHA, which depends on the frozen Consultation Core and the frozen Patients module, and touches these three routes and this one table" is.</w:t>
      </w:r>
    </w:p>
    <w:p>
      <w:pPr>
        <w:spacing w:after="150" w:line="288"/>
      </w:pPr>
      <w:r>
        <w:rPr>
          <w:b w:val="false"/>
          <w:bCs w:val="false"/>
          <w:i w:val="false"/>
          <w:iCs w:val="false"/>
          <w:color w:val="1A1A1A"/>
          <w:sz w:val="21"/>
          <w:szCs w:val="21"/>
        </w:rPr>
        <w:t xml:space="preserve">This only holds if three conditions from this document are actually implemented, not just described:</w:t>
      </w:r>
    </w:p>
    <w:p>
      <w:pPr>
        <w:pStyle w:val="ListParagraph"/>
        <w:numPr>
          <w:ilvl w:val="0"/>
          <w:numId w:val="3"/>
        </w:numPr>
        <w:spacing w:after="100" w:line="276"/>
      </w:pPr>
      <w:r>
        <w:rPr>
          <w:color w:val="1A1A1A"/>
          <w:sz w:val="21"/>
          <w:szCs w:val="21"/>
        </w:rPr>
        <w:t xml:space="preserve">The Shared Foundation for a Module is frozen and documented before any child — human or agent — starts work on it.</w:t>
      </w:r>
    </w:p>
    <w:p>
      <w:pPr>
        <w:pStyle w:val="ListParagraph"/>
        <w:numPr>
          <w:ilvl w:val="0"/>
          <w:numId w:val="3"/>
        </w:numPr>
        <w:spacing w:after="100" w:line="276"/>
      </w:pPr>
      <w:r>
        <w:rPr>
          <w:color w:val="1A1A1A"/>
          <w:sz w:val="21"/>
          <w:szCs w:val="21"/>
        </w:rPr>
        <w:t xml:space="preserve">Dependencies are declared in a structured, machine-readable field (a list of child-module IDs), not as prose in a notes field.</w:t>
      </w:r>
    </w:p>
    <w:p>
      <w:pPr>
        <w:pStyle w:val="ListParagraph"/>
        <w:numPr>
          <w:ilvl w:val="0"/>
          <w:numId w:val="3"/>
        </w:numPr>
        <w:spacing w:after="100" w:line="276"/>
      </w:pPr>
      <w:r>
        <w:rPr>
          <w:color w:val="1A1A1A"/>
          <w:sz w:val="21"/>
          <w:szCs w:val="21"/>
        </w:rPr>
        <w:t xml:space="preserve">Each child module's Scope field states an explicit boundary — which files, routes, and tables it owns — so an agent has a hard edge to stop at.</w:t>
      </w:r>
    </w:p>
    <w:tbl>
      <w:tblPr>
        <w:tblW w:type="dxa" w:w="9350"/>
        <w:tblBorders>
          <w:top w:val="single" w:color="B23A3A" w:sz="4"/>
          <w:left w:val="single" w:color="B23A3A" w:sz="28"/>
          <w:bottom w:val="single" w:color="B23A3A" w:sz="4"/>
          <w:right w:val="single" w:color="B23A3A" w:sz="4"/>
          <w:insideH w:val="none" w:color="FFFFFF" w:sz="0"/>
          <w:insideV w:val="none" w:color="FFFFFF" w:sz="0"/>
        </w:tblBorders>
      </w:tblPr>
      <w:tblGrid>
        <w:gridCol w:w="9350"/>
      </w:tblGrid>
      <w:tr>
        <w:tc>
          <w:tcPr>
            <w:tcW w:type="dxa" w:w="9350"/>
            <w:shd w:fill="FAF7F2" w:val="clear"/>
            <w:tcMar>
              <w:top w:type="dxa" w:w="170"/>
              <w:left w:type="dxa" w:w="230"/>
              <w:bottom w:type="dxa" w:w="170"/>
              <w:right w:type="dxa" w:w="230"/>
            </w:tcMar>
          </w:tcPr>
          <w:p>
            <w:pPr>
              <w:spacing w:after="70"/>
            </w:pPr>
            <w:r>
              <w:rPr>
                <w:b/>
                <w:bCs/>
                <w:color w:val="B23A3A"/>
                <w:spacing w:val="14"/>
                <w:sz w:val="19"/>
                <w:szCs w:val="19"/>
              </w:rPr>
              <w:t xml:space="preserve">WITHOUT THESE THREE CONDITIONS</w:t>
            </w:r>
          </w:p>
          <w:p>
            <w:pPr>
              <w:spacing w:after="0" w:line="280"/>
            </w:pPr>
            <w:r>
              <w:rPr>
                <w:color w:val="1A1A1A"/>
                <w:sz w:val="20"/>
                <w:szCs w:val="20"/>
              </w:rPr>
              <w:t xml:space="preserve">"Engineer D → Printing" and "Agent → COHA" will both edit shared files with no conflict visible anywhere in the dashboard — the org chart enforces a task-tracking boundary, not a code boundary. The tree makes multi-agent work possible; only a frozen Shared Foundation plus machine-readable Dependencies make it safe.</w:t>
            </w:r>
          </w:p>
        </w:tc>
      </w:tr>
    </w:tbl>
    <w:p>
      <w:r>
        <w:br w:type="page"/>
      </w:r>
    </w:p>
    <w:p>
      <w:pPr>
        <w:pStyle w:val="Heading1"/>
        <w:spacing w:after="170" w:before="420"/>
      </w:pPr>
      <w:r>
        <w:t xml:space="preserve">5. Redesigned Master Module Register — Governance Schema</w:t>
      </w:r>
    </w:p>
    <w:p>
      <w:pPr>
        <w:spacing w:after="220" w:line="300"/>
      </w:pPr>
      <w:r>
        <w:rPr>
          <w:i/>
          <w:iCs/>
          <w:color w:val="6B6470"/>
          <w:sz w:val="22"/>
          <w:szCs w:val="22"/>
        </w:rPr>
        <w:t xml:space="preserve">Specification only. No implementation in this document, by instruction — this is the object model the next build phase will implement.</w:t>
      </w:r>
    </w:p>
    <w:p>
      <w:pPr>
        <w:pStyle w:val="Heading2"/>
        <w:spacing w:after="130" w:before="300"/>
      </w:pPr>
      <w:r>
        <w:t xml:space="preserve">5.1 The five-level hierarchy</w:t>
      </w:r>
    </w:p>
    <w:p>
      <w:pPr>
        <w:spacing w:after="150" w:line="288"/>
      </w:pPr>
      <w:r>
        <w:rPr>
          <w:b/>
          <w:bCs/>
          <w:i w:val="false"/>
          <w:iCs w:val="false"/>
          <w:color w:val="1A1A1A"/>
          <w:sz w:val="21"/>
          <w:szCs w:val="21"/>
        </w:rPr>
        <w:t xml:space="preserve">Domain → Module → Child Module → Feature (optional) → Task / Slice</w:t>
      </w:r>
    </w:p>
    <w:p>
      <w:pPr>
        <w:pStyle w:val="ListParagraph"/>
        <w:numPr>
          <w:ilvl w:val="0"/>
          <w:numId w:val="2"/>
        </w:numPr>
        <w:spacing w:after="100" w:line="276"/>
      </w:pPr>
      <w:r>
        <w:rPr>
          <w:b w:val="false"/>
          <w:bCs w:val="false"/>
          <w:color w:val="1A1A1A"/>
          <w:sz w:val="21"/>
          <w:szCs w:val="21"/>
        </w:rPr>
        <w:t xml:space="preserve">Domain — unchanged from the current register: Clinical, Communication, Operations, Insights, System, Platform. Pure grouping, no status of its own.</w:t>
      </w:r>
    </w:p>
    <w:p>
      <w:pPr>
        <w:pStyle w:val="ListParagraph"/>
        <w:numPr>
          <w:ilvl w:val="0"/>
          <w:numId w:val="2"/>
        </w:numPr>
        <w:spacing w:after="100" w:line="276"/>
      </w:pPr>
      <w:r>
        <w:rPr>
          <w:b w:val="false"/>
          <w:bCs w:val="false"/>
          <w:color w:val="1A1A1A"/>
          <w:sz w:val="21"/>
          <w:szCs w:val="21"/>
        </w:rPr>
        <w:t xml:space="preserve">Module — a container only. No independent checklist. Carries a Shared Foundation (5.2) and a status derived entirely from its children (5.3). This is the single biggest structural change from the current file, where every Module row currently owns its own checklist.</w:t>
      </w:r>
    </w:p>
    <w:p>
      <w:pPr>
        <w:pStyle w:val="ListParagraph"/>
        <w:numPr>
          <w:ilvl w:val="0"/>
          <w:numId w:val="2"/>
        </w:numPr>
        <w:spacing w:after="100" w:line="276"/>
      </w:pPr>
      <w:r>
        <w:rPr>
          <w:b w:val="false"/>
          <w:bCs w:val="false"/>
          <w:color w:val="1A1A1A"/>
          <w:sz w:val="21"/>
          <w:szCs w:val="21"/>
        </w:rPr>
        <w:t xml:space="preserve">Child Module — the real engineering unit. Everything in the original proposal (Audit, Architecture, Scope, Ownership, Dependencies, Design, Engineering Slices, Testing, Bug Fixing, Live Validation, Freeze, Production Ready) lives here, plus the fields added in 5.3–5.5 below to fix the five weaknesses in Section 2.</w:t>
      </w:r>
    </w:p>
    <w:p>
      <w:pPr>
        <w:pStyle w:val="ListParagraph"/>
        <w:numPr>
          <w:ilvl w:val="0"/>
          <w:numId w:val="2"/>
        </w:numPr>
        <w:spacing w:after="100" w:line="276"/>
      </w:pPr>
      <w:r>
        <w:rPr>
          <w:b w:val="false"/>
          <w:bCs w:val="false"/>
          <w:color w:val="1A1A1A"/>
          <w:sz w:val="21"/>
          <w:szCs w:val="21"/>
        </w:rPr>
        <w:t xml:space="preserve">Feature — optional. Appears only for M/L/XL child modules (5.3) where the unit of work is large enough to need its own sub-breakdown, e.g. Standard Consultation → Chief Complaint Capture, Diagnosis Capture, Treatment Advised, Prescription Hookup, Follow-up Scheduling.</w:t>
      </w:r>
    </w:p>
    <w:p>
      <w:pPr>
        <w:pStyle w:val="ListParagraph"/>
        <w:numPr>
          <w:ilvl w:val="0"/>
          <w:numId w:val="2"/>
        </w:numPr>
        <w:spacing w:after="100" w:line="276"/>
      </w:pPr>
      <w:r>
        <w:rPr>
          <w:b w:val="false"/>
          <w:bCs w:val="false"/>
          <w:color w:val="1A1A1A"/>
          <w:sz w:val="21"/>
          <w:szCs w:val="21"/>
        </w:rPr>
        <w:t xml:space="preserve">Task / Slice — the actual unit of implementation work, attached directly to a Child Module, or to a Feature when one exists.</w:t>
      </w:r>
    </w:p>
    <w:p>
      <w:pPr>
        <w:pStyle w:val="Heading2"/>
        <w:spacing w:after="130" w:before="300"/>
      </w:pPr>
      <w:r>
        <w:t xml:space="preserve">5.2 Shared Foundation (new — fixes Weakness 4)</w:t>
      </w:r>
    </w:p>
    <w:p>
      <w:pPr>
        <w:spacing w:after="150" w:line="288"/>
      </w:pPr>
      <w:r>
        <w:rPr>
          <w:b w:val="false"/>
          <w:bCs w:val="false"/>
          <w:i w:val="false"/>
          <w:iCs w:val="false"/>
          <w:color w:val="1A1A1A"/>
          <w:sz w:val="21"/>
          <w:szCs w:val="21"/>
        </w:rPr>
        <w:t xml:space="preserve">Every Module with more than one Child Module declares a Shared Foundation: the schema, base service class, base controller, and shared views that all of its children depend on.</w:t>
      </w:r>
    </w:p>
    <w:p>
      <w:pPr>
        <w:pStyle w:val="ListParagraph"/>
        <w:numPr>
          <w:ilvl w:val="0"/>
          <w:numId w:val="2"/>
        </w:numPr>
        <w:spacing w:after="100" w:line="276"/>
      </w:pPr>
      <w:r>
        <w:rPr>
          <w:b w:val="false"/>
          <w:bCs w:val="false"/>
          <w:color w:val="1A1A1A"/>
          <w:sz w:val="21"/>
          <w:szCs w:val="21"/>
        </w:rPr>
        <w:t xml:space="preserve">Shared Foundation has its own lightweight status: Not Started → In Progress → Frozen.</w:t>
      </w:r>
    </w:p>
    <w:p>
      <w:pPr>
        <w:pStyle w:val="ListParagraph"/>
        <w:numPr>
          <w:ilvl w:val="0"/>
          <w:numId w:val="2"/>
        </w:numPr>
        <w:spacing w:after="100" w:line="276"/>
      </w:pPr>
      <w:r>
        <w:rPr>
          <w:b w:val="false"/>
          <w:bCs w:val="false"/>
          <w:color w:val="1A1A1A"/>
          <w:sz w:val="21"/>
          <w:szCs w:val="21"/>
        </w:rPr>
        <w:t xml:space="preserve">No Child Module may leave "Not Started" until its parent's Shared Foundation is Frozen. This is the mechanism that makes independent per-child ownership actually safe at the code level, not just on the dashboard.</w:t>
      </w:r>
    </w:p>
    <w:p>
      <w:pPr>
        <w:pStyle w:val="ListParagraph"/>
        <w:numPr>
          <w:ilvl w:val="0"/>
          <w:numId w:val="2"/>
        </w:numPr>
        <w:spacing w:after="100" w:line="276"/>
      </w:pPr>
      <w:r>
        <w:rPr>
          <w:b w:val="false"/>
          <w:bCs w:val="false"/>
          <w:color w:val="1A1A1A"/>
          <w:sz w:val="21"/>
          <w:szCs w:val="21"/>
        </w:rPr>
        <w:t xml:space="preserve">Once frozen, the Shared Foundation follows the same Frozen-Amendment rule as a Child Module (5.4) — children may extend it, no child may modify it unilaterally.</w:t>
      </w:r>
    </w:p>
    <w:p>
      <w:pPr>
        <w:pStyle w:val="Heading2"/>
        <w:spacing w:after="130" w:before="300"/>
      </w:pPr>
      <w:r>
        <w:t xml:space="preserve">5.3 Module status derivation (new — fixes Weakness 3)</w:t>
      </w:r>
    </w:p>
    <w:p>
      <w:pPr>
        <w:spacing w:after="150" w:line="288"/>
      </w:pPr>
      <w:r>
        <w:rPr>
          <w:b w:val="false"/>
          <w:bCs w:val="false"/>
          <w:i w:val="false"/>
          <w:iCs w:val="false"/>
          <w:color w:val="1A1A1A"/>
          <w:sz w:val="21"/>
          <w:szCs w:val="21"/>
        </w:rPr>
        <w:t xml:space="preserve">Explicit formula, so the dashboard number means something specific:</w:t>
      </w:r>
    </w:p>
    <w:p>
      <w:pPr>
        <w:pStyle w:val="ListParagraph"/>
        <w:numPr>
          <w:ilvl w:val="0"/>
          <w:numId w:val="4"/>
        </w:numPr>
        <w:spacing w:after="80" w:line="270"/>
      </w:pPr>
      <w:r>
        <w:rPr>
          <w:color w:val="6B6470"/>
          <w:sz w:val="20"/>
          <w:szCs w:val="20"/>
        </w:rPr>
        <w:t xml:space="preserve">Size Tier weight: S = 1, M = 2, L = 3, XL = 5.</w:t>
      </w:r>
    </w:p>
    <w:p>
      <w:pPr>
        <w:pStyle w:val="ListParagraph"/>
        <w:numPr>
          <w:ilvl w:val="0"/>
          <w:numId w:val="4"/>
        </w:numPr>
        <w:spacing w:after="80" w:line="270"/>
      </w:pPr>
      <w:r>
        <w:rPr>
          <w:color w:val="6B6470"/>
          <w:sz w:val="20"/>
          <w:szCs w:val="20"/>
        </w:rPr>
        <w:t xml:space="preserve">Module weighted % = (Σ weight × child checklist completion %) ÷ (Σ weight of all in-scope children).</w:t>
      </w:r>
    </w:p>
    <w:p>
      <w:pPr>
        <w:pStyle w:val="ListParagraph"/>
        <w:numPr>
          <w:ilvl w:val="0"/>
          <w:numId w:val="4"/>
        </w:numPr>
        <w:spacing w:after="80" w:line="270"/>
      </w:pPr>
      <w:r>
        <w:rPr>
          <w:color w:val="6B6470"/>
          <w:sz w:val="20"/>
          <w:szCs w:val="20"/>
        </w:rPr>
        <w:t xml:space="preserve">"In-scope" excludes any child in the Out of Scope / Future state — a child intentionally deferred (e.g. Voice Consultation, AI Consultation, both explicitly post-V1 under Directive #004) is not counted in the denominator at all.</w:t>
      </w:r>
    </w:p>
    <w:p>
      <w:pPr>
        <w:pStyle w:val="ListParagraph"/>
        <w:numPr>
          <w:ilvl w:val="0"/>
          <w:numId w:val="4"/>
        </w:numPr>
        <w:spacing w:after="80" w:line="270"/>
      </w:pPr>
      <w:r>
        <w:rPr>
          <w:color w:val="6B6470"/>
          <w:sz w:val="20"/>
          <w:szCs w:val="20"/>
        </w:rPr>
        <w:t xml:space="preserve">Module status label: Frozen only when 100% of in-scope children are Frozen. Otherwise displayed exactly as the proposal's own example — "2/10 Child Modules Frozen" — with the weighted % shown beneath it as the secondary number.</w:t>
      </w:r>
    </w:p>
    <w:p>
      <w:pPr>
        <w:spacing w:after="150" w:line="288"/>
      </w:pPr>
      <w:r>
        <w:rPr>
          <w:b w:val="false"/>
          <w:bCs w:val="false"/>
          <w:i w:val="false"/>
          <w:iCs w:val="false"/>
          <w:color w:val="1A1A1A"/>
          <w:sz w:val="21"/>
          <w:szCs w:val="21"/>
        </w:rPr>
        <w:t xml:space="preserve">Worked example using the current register's own numbers: if Consultations has Standard Consultation (XL, weight 5, 40% complete), Minor Visit (S, weight 1, 100%), and eight other children averaging 20% complete at weight 1 each, a naive unweighted average would overstate progress by counting the finished small items equally with the unfinished large one. The weighted formula keeps Standard Consultation's actual state as the dominant signal, which is the correct behavior — it is the module's real bottleneck.</w:t>
      </w:r>
    </w:p>
    <w:p>
      <w:pPr>
        <w:pStyle w:val="Heading2"/>
        <w:spacing w:after="130" w:before="300"/>
      </w:pPr>
      <w:r>
        <w:t xml:space="preserve">5.4 Child Module states and the Frozen-Amendment process (new — fixes Weakness 1)</w:t>
      </w:r>
    </w:p>
    <w:tbl>
      <w:tblPr>
        <w:tblW w:type="dxa" w:w="9350"/>
        <w:tblBorders>
          <w:top w:val="single" w:color="E8E3E8" w:sz="4"/>
          <w:left w:val="single" w:color="E8E3E8" w:sz="4"/>
          <w:bottom w:val="single" w:color="E8E3E8" w:sz="4"/>
          <w:right w:val="single" w:color="E8E3E8" w:sz="4"/>
          <w:insideH w:val="single" w:color="E8E3E8" w:sz="4"/>
          <w:insideV w:val="single" w:color="E8E3E8" w:sz="4"/>
        </w:tblBorders>
      </w:tblPr>
      <w:tblGrid>
        <w:gridCol w:w="2100"/>
        <w:gridCol w:w="7250"/>
      </w:tblGrid>
      <w:tr>
        <w:trPr>
          <w:tblHeader/>
        </w:trPr>
        <w:tc>
          <w:tcPr>
            <w:tcW w:type="dxa" w:w="2100"/>
            <w:shd w:fill="702070" w:val="clear"/>
            <w:tcMar>
              <w:top w:type="dxa" w:w="100"/>
              <w:left w:type="dxa" w:w="120"/>
              <w:bottom w:type="dxa" w:w="100"/>
              <w:right w:type="dxa" w:w="120"/>
            </w:tcMar>
            <w:vAlign w:val="center"/>
          </w:tcPr>
          <w:p>
            <w:r>
              <w:rPr>
                <w:b/>
                <w:bCs/>
                <w:color w:val="FFFFFF"/>
                <w:sz w:val="19"/>
                <w:szCs w:val="19"/>
              </w:rPr>
              <w:t xml:space="preserve">State</w:t>
            </w:r>
          </w:p>
        </w:tc>
        <w:tc>
          <w:tcPr>
            <w:tcW w:type="dxa" w:w="7250"/>
            <w:shd w:fill="702070" w:val="clear"/>
            <w:tcMar>
              <w:top w:type="dxa" w:w="100"/>
              <w:left w:type="dxa" w:w="120"/>
              <w:bottom w:type="dxa" w:w="100"/>
              <w:right w:type="dxa" w:w="120"/>
            </w:tcMar>
            <w:vAlign w:val="center"/>
          </w:tcPr>
          <w:p>
            <w:r>
              <w:rPr>
                <w:b/>
                <w:bCs/>
                <w:color w:val="FFFFFF"/>
                <w:sz w:val="19"/>
                <w:szCs w:val="19"/>
              </w:rPr>
              <w:t xml:space="preserve">Meaning</w:t>
            </w:r>
          </w:p>
        </w:tc>
      </w:tr>
      <w:tr>
        <w:tc>
          <w:tcPr>
            <w:tcW w:type="dxa" w:w="2100"/>
            <w:tcMar>
              <w:top w:type="dxa" w:w="100"/>
              <w:left w:type="dxa" w:w="120"/>
              <w:bottom w:type="dxa" w:w="100"/>
              <w:right w:type="dxa" w:w="120"/>
            </w:tcMar>
            <w:vAlign w:val="center"/>
          </w:tcPr>
          <w:p>
            <w:r>
              <w:rPr>
                <w:b w:val="false"/>
                <w:bCs w:val="false"/>
                <w:color w:val="1A1A1A"/>
                <w:sz w:val="19"/>
                <w:szCs w:val="19"/>
              </w:rPr>
              <w:t xml:space="preserve">Not Scoped</w:t>
            </w:r>
          </w:p>
        </w:tc>
        <w:tc>
          <w:tcPr>
            <w:tcW w:type="dxa" w:w="7250"/>
            <w:tcMar>
              <w:top w:type="dxa" w:w="100"/>
              <w:left w:type="dxa" w:w="120"/>
              <w:bottom w:type="dxa" w:w="100"/>
              <w:right w:type="dxa" w:w="120"/>
            </w:tcMar>
            <w:vAlign w:val="center"/>
          </w:tcPr>
          <w:p>
            <w:r>
              <w:rPr>
                <w:b w:val="false"/>
                <w:bCs w:val="false"/>
                <w:color w:val="1A1A1A"/>
                <w:sz w:val="19"/>
                <w:szCs w:val="19"/>
              </w:rPr>
              <w:t xml:space="preserve">Identified but not yet audited or designed. Excluded from checklist math.</w:t>
            </w:r>
          </w:p>
        </w:tc>
      </w:tr>
      <w:tr>
        <w:tc>
          <w:tcPr>
            <w:tcW w:type="dxa" w:w="2100"/>
            <w:shd w:fill="FAF7FA" w:val="clear"/>
            <w:tcMar>
              <w:top w:type="dxa" w:w="100"/>
              <w:left w:type="dxa" w:w="120"/>
              <w:bottom w:type="dxa" w:w="100"/>
              <w:right w:type="dxa" w:w="120"/>
            </w:tcMar>
            <w:vAlign w:val="center"/>
          </w:tcPr>
          <w:p>
            <w:r>
              <w:rPr>
                <w:b w:val="false"/>
                <w:bCs w:val="false"/>
                <w:color w:val="1A1A1A"/>
                <w:sz w:val="19"/>
                <w:szCs w:val="19"/>
              </w:rPr>
              <w:t xml:space="preserve">Scoped</w:t>
            </w:r>
          </w:p>
        </w:tc>
        <w:tc>
          <w:tcPr>
            <w:tcW w:type="dxa" w:w="7250"/>
            <w:shd w:fill="FAF7FA" w:val="clear"/>
            <w:tcMar>
              <w:top w:type="dxa" w:w="100"/>
              <w:left w:type="dxa" w:w="120"/>
              <w:bottom w:type="dxa" w:w="100"/>
              <w:right w:type="dxa" w:w="120"/>
            </w:tcMar>
            <w:vAlign w:val="center"/>
          </w:tcPr>
          <w:p>
            <w:r>
              <w:rPr>
                <w:b w:val="false"/>
                <w:bCs w:val="false"/>
                <w:color w:val="1A1A1A"/>
                <w:sz w:val="19"/>
                <w:szCs w:val="19"/>
              </w:rPr>
              <w:t xml:space="preserve">Audit + Architecture + Scope + Dependencies complete. Not yet started.</w:t>
            </w:r>
          </w:p>
        </w:tc>
      </w:tr>
      <w:tr>
        <w:tc>
          <w:tcPr>
            <w:tcW w:type="dxa" w:w="2100"/>
            <w:tcMar>
              <w:top w:type="dxa" w:w="100"/>
              <w:left w:type="dxa" w:w="120"/>
              <w:bottom w:type="dxa" w:w="100"/>
              <w:right w:type="dxa" w:w="120"/>
            </w:tcMar>
            <w:vAlign w:val="center"/>
          </w:tcPr>
          <w:p>
            <w:r>
              <w:rPr>
                <w:b w:val="false"/>
                <w:bCs w:val="false"/>
                <w:color w:val="1A1A1A"/>
                <w:sz w:val="19"/>
                <w:szCs w:val="19"/>
              </w:rPr>
              <w:t xml:space="preserve">In Progress</w:t>
            </w:r>
          </w:p>
        </w:tc>
        <w:tc>
          <w:tcPr>
            <w:tcW w:type="dxa" w:w="7250"/>
            <w:tcMar>
              <w:top w:type="dxa" w:w="100"/>
              <w:left w:type="dxa" w:w="120"/>
              <w:bottom w:type="dxa" w:w="100"/>
              <w:right w:type="dxa" w:w="120"/>
            </w:tcMar>
            <w:vAlign w:val="center"/>
          </w:tcPr>
          <w:p>
            <w:r>
              <w:rPr>
                <w:b w:val="false"/>
                <w:bCs w:val="false"/>
                <w:color w:val="1A1A1A"/>
                <w:sz w:val="19"/>
                <w:szCs w:val="19"/>
              </w:rPr>
              <w:t xml:space="preserve">Engineering slices underway. Checklist stages advancing.</w:t>
            </w:r>
          </w:p>
        </w:tc>
      </w:tr>
      <w:tr>
        <w:tc>
          <w:tcPr>
            <w:tcW w:type="dxa" w:w="2100"/>
            <w:shd w:fill="FAF7FA" w:val="clear"/>
            <w:tcMar>
              <w:top w:type="dxa" w:w="100"/>
              <w:left w:type="dxa" w:w="120"/>
              <w:bottom w:type="dxa" w:w="100"/>
              <w:right w:type="dxa" w:w="120"/>
            </w:tcMar>
            <w:vAlign w:val="center"/>
          </w:tcPr>
          <w:p>
            <w:r>
              <w:rPr>
                <w:b w:val="false"/>
                <w:bCs w:val="false"/>
                <w:color w:val="1A1A1A"/>
                <w:sz w:val="19"/>
                <w:szCs w:val="19"/>
              </w:rPr>
              <w:t xml:space="preserve">Testing / Validation</w:t>
            </w:r>
          </w:p>
        </w:tc>
        <w:tc>
          <w:tcPr>
            <w:tcW w:type="dxa" w:w="7250"/>
            <w:shd w:fill="FAF7FA" w:val="clear"/>
            <w:tcMar>
              <w:top w:type="dxa" w:w="100"/>
              <w:left w:type="dxa" w:w="120"/>
              <w:bottom w:type="dxa" w:w="100"/>
              <w:right w:type="dxa" w:w="120"/>
            </w:tcMar>
            <w:vAlign w:val="center"/>
          </w:tcPr>
          <w:p>
            <w:r>
              <w:rPr>
                <w:b w:val="false"/>
                <w:bCs w:val="false"/>
                <w:color w:val="1A1A1A"/>
                <w:sz w:val="19"/>
                <w:szCs w:val="19"/>
              </w:rPr>
              <w:t xml:space="preserve">Implementation complete, in Testing → Bug Fixes → Parity → Variants → Hardening → Live Validation.</w:t>
            </w:r>
          </w:p>
        </w:tc>
      </w:tr>
      <w:tr>
        <w:tc>
          <w:tcPr>
            <w:tcW w:type="dxa" w:w="2100"/>
            <w:tcMar>
              <w:top w:type="dxa" w:w="100"/>
              <w:left w:type="dxa" w:w="120"/>
              <w:bottom w:type="dxa" w:w="100"/>
              <w:right w:type="dxa" w:w="120"/>
            </w:tcMar>
            <w:vAlign w:val="center"/>
          </w:tcPr>
          <w:p>
            <w:r>
              <w:rPr>
                <w:b w:val="false"/>
                <w:bCs w:val="false"/>
                <w:color w:val="1A1A1A"/>
                <w:sz w:val="19"/>
                <w:szCs w:val="19"/>
              </w:rPr>
              <w:t xml:space="preserve">Frozen</w:t>
            </w:r>
          </w:p>
        </w:tc>
        <w:tc>
          <w:tcPr>
            <w:tcW w:type="dxa" w:w="7250"/>
            <w:tcMar>
              <w:top w:type="dxa" w:w="100"/>
              <w:left w:type="dxa" w:w="120"/>
              <w:bottom w:type="dxa" w:w="100"/>
              <w:right w:type="dxa" w:w="120"/>
            </w:tcMar>
            <w:vAlign w:val="center"/>
          </w:tcPr>
          <w:p>
            <w:r>
              <w:rPr>
                <w:b w:val="false"/>
                <w:bCs w:val="false"/>
                <w:color w:val="1A1A1A"/>
                <w:sz w:val="19"/>
                <w:szCs w:val="19"/>
              </w:rPr>
              <w:t xml:space="preserve">Production Ready. Closed to new scope. Amendments only via the process below.</w:t>
            </w:r>
          </w:p>
        </w:tc>
      </w:tr>
      <w:tr>
        <w:tc>
          <w:tcPr>
            <w:tcW w:type="dxa" w:w="2100"/>
            <w:shd w:fill="FAF7FA" w:val="clear"/>
            <w:tcMar>
              <w:top w:type="dxa" w:w="100"/>
              <w:left w:type="dxa" w:w="120"/>
              <w:bottom w:type="dxa" w:w="100"/>
              <w:right w:type="dxa" w:w="120"/>
            </w:tcMar>
            <w:vAlign w:val="center"/>
          </w:tcPr>
          <w:p>
            <w:r>
              <w:rPr>
                <w:b w:val="false"/>
                <w:bCs w:val="false"/>
                <w:color w:val="1A1A1A"/>
                <w:sz w:val="19"/>
                <w:szCs w:val="19"/>
              </w:rPr>
              <w:t xml:space="preserve">Out of Scope / Future</w:t>
            </w:r>
          </w:p>
        </w:tc>
        <w:tc>
          <w:tcPr>
            <w:tcW w:type="dxa" w:w="7250"/>
            <w:shd w:fill="FAF7FA" w:val="clear"/>
            <w:tcMar>
              <w:top w:type="dxa" w:w="100"/>
              <w:left w:type="dxa" w:w="120"/>
              <w:bottom w:type="dxa" w:w="100"/>
              <w:right w:type="dxa" w:w="120"/>
            </w:tcMar>
            <w:vAlign w:val="center"/>
          </w:tcPr>
          <w:p>
            <w:r>
              <w:rPr>
                <w:b w:val="false"/>
                <w:bCs w:val="false"/>
                <w:color w:val="1A1A1A"/>
                <w:sz w:val="19"/>
                <w:szCs w:val="19"/>
              </w:rPr>
              <w:t xml:space="preserve">Deliberately deferred (e.g. by CEO Directive). Excluded from the parent's weighted % and from the "X/Y Frozen" count entirely.</w:t>
            </w:r>
          </w:p>
        </w:tc>
      </w:tr>
    </w:tbl>
    <w:p>
      <w:pPr>
        <w:spacing w:after="160"/>
      </w:pPr>
    </w:p>
    <w:p>
      <w:pPr>
        <w:spacing w:after="150" w:line="288"/>
      </w:pPr>
      <w:r>
        <w:rPr>
          <w:b w:val="false"/>
          <w:bCs w:val="false"/>
          <w:i w:val="false"/>
          <w:iCs w:val="false"/>
          <w:color w:val="1A1A1A"/>
          <w:sz w:val="21"/>
          <w:szCs w:val="21"/>
        </w:rPr>
        <w:t xml:space="preserve">Frozen-Amendment process: touching a Frozen child module requires selecting one of exactly three reason codes — Security, Compliance, Shared-Schema-Migration — plus a one-line justification and the date. This is logged permanently on that child module's record and surfaced as a visible history, not a hidden log file, so freeze discipline is auditable rather than merely promised. "Critical production bug" is deliberately not a listed reason code on its own — a genuine production bug is definitionally a Security or a data-integrity issue and should be logged as such; leaving a generic "critical bug" catch-all invites exactly the scope-creep the freeze exists to prevent.</w:t>
      </w:r>
    </w:p>
    <w:p>
      <w:pPr>
        <w:pStyle w:val="Heading2"/>
        <w:spacing w:after="130" w:before="300"/>
      </w:pPr>
      <w:r>
        <w:t xml:space="preserve">5.5 Checklist variants by Size Tier (new — fixes Weakness 2 and the governance-overhead risk)</w:t>
      </w:r>
    </w:p>
    <w:tbl>
      <w:tblPr>
        <w:tblW w:type="dxa" w:w="9350"/>
        <w:tblBorders>
          <w:top w:val="single" w:color="E8E3E8" w:sz="4"/>
          <w:left w:val="single" w:color="E8E3E8" w:sz="4"/>
          <w:bottom w:val="single" w:color="E8E3E8" w:sz="4"/>
          <w:right w:val="single" w:color="E8E3E8" w:sz="4"/>
          <w:insideH w:val="single" w:color="E8E3E8" w:sz="4"/>
          <w:insideV w:val="single" w:color="E8E3E8" w:sz="4"/>
        </w:tblBorders>
      </w:tblPr>
      <w:tblGrid>
        <w:gridCol w:w="1650"/>
        <w:gridCol w:w="2350"/>
        <w:gridCol w:w="5350"/>
      </w:tblGrid>
      <w:tr>
        <w:trPr>
          <w:tblHeader/>
        </w:trPr>
        <w:tc>
          <w:tcPr>
            <w:tcW w:type="dxa" w:w="1650"/>
            <w:shd w:fill="702070" w:val="clear"/>
            <w:tcMar>
              <w:top w:type="dxa" w:w="100"/>
              <w:left w:type="dxa" w:w="120"/>
              <w:bottom w:type="dxa" w:w="100"/>
              <w:right w:type="dxa" w:w="120"/>
            </w:tcMar>
            <w:vAlign w:val="center"/>
          </w:tcPr>
          <w:p>
            <w:r>
              <w:rPr>
                <w:b/>
                <w:bCs/>
                <w:color w:val="FFFFFF"/>
                <w:sz w:val="19"/>
                <w:szCs w:val="19"/>
              </w:rPr>
              <w:t xml:space="preserve">Tier</w:t>
            </w:r>
          </w:p>
        </w:tc>
        <w:tc>
          <w:tcPr>
            <w:tcW w:type="dxa" w:w="2350"/>
            <w:shd w:fill="702070" w:val="clear"/>
            <w:tcMar>
              <w:top w:type="dxa" w:w="100"/>
              <w:left w:type="dxa" w:w="120"/>
              <w:bottom w:type="dxa" w:w="100"/>
              <w:right w:type="dxa" w:w="120"/>
            </w:tcMar>
            <w:vAlign w:val="center"/>
          </w:tcPr>
          <w:p>
            <w:r>
              <w:rPr>
                <w:b/>
                <w:bCs/>
                <w:color w:val="FFFFFF"/>
                <w:sz w:val="19"/>
                <w:szCs w:val="19"/>
              </w:rPr>
              <w:t xml:space="preserve">Checklist</w:t>
            </w:r>
          </w:p>
        </w:tc>
        <w:tc>
          <w:tcPr>
            <w:tcW w:type="dxa" w:w="5350"/>
            <w:shd w:fill="702070" w:val="clear"/>
            <w:tcMar>
              <w:top w:type="dxa" w:w="100"/>
              <w:left w:type="dxa" w:w="120"/>
              <w:bottom w:type="dxa" w:w="100"/>
              <w:right w:type="dxa" w:w="120"/>
            </w:tcMar>
            <w:vAlign w:val="center"/>
          </w:tcPr>
          <w:p>
            <w:r>
              <w:rPr>
                <w:b/>
                <w:bCs/>
                <w:color w:val="FFFFFF"/>
                <w:sz w:val="19"/>
                <w:szCs w:val="19"/>
              </w:rPr>
              <w:t xml:space="preserve">Examples from the current register</w:t>
            </w:r>
          </w:p>
        </w:tc>
      </w:tr>
      <w:tr>
        <w:tc>
          <w:tcPr>
            <w:tcW w:type="dxa" w:w="1650"/>
            <w:tcMar>
              <w:top w:type="dxa" w:w="100"/>
              <w:left w:type="dxa" w:w="120"/>
              <w:bottom w:type="dxa" w:w="100"/>
              <w:right w:type="dxa" w:w="120"/>
            </w:tcMar>
            <w:vAlign w:val="center"/>
          </w:tcPr>
          <w:p>
            <w:r>
              <w:rPr>
                <w:b w:val="false"/>
                <w:bCs w:val="false"/>
                <w:color w:val="1A1A1A"/>
                <w:sz w:val="19"/>
                <w:szCs w:val="19"/>
              </w:rPr>
              <w:t xml:space="preserve">S</w:t>
            </w:r>
          </w:p>
        </w:tc>
        <w:tc>
          <w:tcPr>
            <w:tcW w:type="dxa" w:w="2350"/>
            <w:tcMar>
              <w:top w:type="dxa" w:w="100"/>
              <w:left w:type="dxa" w:w="120"/>
              <w:bottom w:type="dxa" w:w="100"/>
              <w:right w:type="dxa" w:w="120"/>
            </w:tcMar>
            <w:vAlign w:val="center"/>
          </w:tcPr>
          <w:p>
            <w:r>
              <w:rPr>
                <w:b w:val="false"/>
                <w:bCs w:val="false"/>
                <w:color w:val="1A1A1A"/>
                <w:sz w:val="19"/>
                <w:szCs w:val="19"/>
              </w:rPr>
              <w:t xml:space="preserve">5 gates: Build → Test → Bug Fix → Validate → Freeze</w:t>
            </w:r>
          </w:p>
        </w:tc>
        <w:tc>
          <w:tcPr>
            <w:tcW w:type="dxa" w:w="5350"/>
            <w:tcMar>
              <w:top w:type="dxa" w:w="100"/>
              <w:left w:type="dxa" w:w="120"/>
              <w:bottom w:type="dxa" w:w="100"/>
              <w:right w:type="dxa" w:w="120"/>
            </w:tcMar>
            <w:vAlign w:val="center"/>
          </w:tcPr>
          <w:p>
            <w:r>
              <w:rPr>
                <w:b w:val="false"/>
                <w:bCs w:val="false"/>
                <w:color w:val="1A1A1A"/>
                <w:sz w:val="19"/>
                <w:szCs w:val="19"/>
              </w:rPr>
              <w:t xml:space="preserve">Printing, Notifications, Help, Tags</w:t>
            </w:r>
          </w:p>
        </w:tc>
      </w:tr>
      <w:tr>
        <w:tc>
          <w:tcPr>
            <w:tcW w:type="dxa" w:w="1650"/>
            <w:shd w:fill="FAF7FA" w:val="clear"/>
            <w:tcMar>
              <w:top w:type="dxa" w:w="100"/>
              <w:left w:type="dxa" w:w="120"/>
              <w:bottom w:type="dxa" w:w="100"/>
              <w:right w:type="dxa" w:w="120"/>
            </w:tcMar>
            <w:vAlign w:val="center"/>
          </w:tcPr>
          <w:p>
            <w:r>
              <w:rPr>
                <w:b w:val="false"/>
                <w:bCs w:val="false"/>
                <w:color w:val="1A1A1A"/>
                <w:sz w:val="19"/>
                <w:szCs w:val="19"/>
              </w:rPr>
              <w:t xml:space="preserve">M</w:t>
            </w:r>
          </w:p>
        </w:tc>
        <w:tc>
          <w:tcPr>
            <w:tcW w:type="dxa" w:w="2350"/>
            <w:shd w:fill="FAF7FA" w:val="clear"/>
            <w:tcMar>
              <w:top w:type="dxa" w:w="100"/>
              <w:left w:type="dxa" w:w="120"/>
              <w:bottom w:type="dxa" w:w="100"/>
              <w:right w:type="dxa" w:w="120"/>
            </w:tcMar>
            <w:vAlign w:val="center"/>
          </w:tcPr>
          <w:p>
            <w:r>
              <w:rPr>
                <w:b w:val="false"/>
                <w:bCs w:val="false"/>
                <w:color w:val="1A1A1A"/>
                <w:sz w:val="19"/>
                <w:szCs w:val="19"/>
              </w:rPr>
              <w:t xml:space="preserve">8 gates: Audit → Planning → Implementation → Testing → Bug Fixes → Hardening → Live Validation → Freeze</w:t>
            </w:r>
          </w:p>
        </w:tc>
        <w:tc>
          <w:tcPr>
            <w:tcW w:type="dxa" w:w="5350"/>
            <w:shd w:fill="FAF7FA" w:val="clear"/>
            <w:tcMar>
              <w:top w:type="dxa" w:w="100"/>
              <w:left w:type="dxa" w:w="120"/>
              <w:bottom w:type="dxa" w:w="100"/>
              <w:right w:type="dxa" w:w="120"/>
            </w:tcMar>
            <w:vAlign w:val="center"/>
          </w:tcPr>
          <w:p>
            <w:r>
              <w:rPr>
                <w:b w:val="false"/>
                <w:bCs w:val="false"/>
                <w:color w:val="1A1A1A"/>
                <w:sz w:val="19"/>
                <w:szCs w:val="19"/>
              </w:rPr>
              <w:t xml:space="preserve">Duplicate Merge, Lab Vendors, Attendance</w:t>
            </w:r>
          </w:p>
        </w:tc>
      </w:tr>
      <w:tr>
        <w:tc>
          <w:tcPr>
            <w:tcW w:type="dxa" w:w="1650"/>
            <w:tcMar>
              <w:top w:type="dxa" w:w="100"/>
              <w:left w:type="dxa" w:w="120"/>
              <w:bottom w:type="dxa" w:w="100"/>
              <w:right w:type="dxa" w:w="120"/>
            </w:tcMar>
            <w:vAlign w:val="center"/>
          </w:tcPr>
          <w:p>
            <w:r>
              <w:rPr>
                <w:b w:val="false"/>
                <w:bCs w:val="false"/>
                <w:color w:val="1A1A1A"/>
                <w:sz w:val="19"/>
                <w:szCs w:val="19"/>
              </w:rPr>
              <w:t xml:space="preserve">L</w:t>
            </w:r>
          </w:p>
        </w:tc>
        <w:tc>
          <w:tcPr>
            <w:tcW w:type="dxa" w:w="2350"/>
            <w:tcMar>
              <w:top w:type="dxa" w:w="100"/>
              <w:left w:type="dxa" w:w="120"/>
              <w:bottom w:type="dxa" w:w="100"/>
              <w:right w:type="dxa" w:w="120"/>
            </w:tcMar>
            <w:vAlign w:val="center"/>
          </w:tcPr>
          <w:p>
            <w:r>
              <w:rPr>
                <w:b w:val="false"/>
                <w:bCs w:val="false"/>
                <w:color w:val="1A1A1A"/>
                <w:sz w:val="19"/>
                <w:szCs w:val="19"/>
              </w:rPr>
              <w:t xml:space="preserve">Full 11 gates (as in the current register)</w:t>
            </w:r>
          </w:p>
        </w:tc>
        <w:tc>
          <w:tcPr>
            <w:tcW w:type="dxa" w:w="5350"/>
            <w:tcMar>
              <w:top w:type="dxa" w:w="100"/>
              <w:left w:type="dxa" w:w="120"/>
              <w:bottom w:type="dxa" w:w="100"/>
              <w:right w:type="dxa" w:w="120"/>
            </w:tcMar>
            <w:vAlign w:val="center"/>
          </w:tcPr>
          <w:p>
            <w:r>
              <w:rPr>
                <w:b w:val="false"/>
                <w:bCs w:val="false"/>
                <w:color w:val="1A1A1A"/>
                <w:sz w:val="19"/>
                <w:szCs w:val="19"/>
              </w:rPr>
              <w:t xml:space="preserve">Patient Profile, Billing/Invoices, WhatsApp Inbox</w:t>
            </w:r>
          </w:p>
        </w:tc>
      </w:tr>
      <w:tr>
        <w:tc>
          <w:tcPr>
            <w:tcW w:type="dxa" w:w="1650"/>
            <w:shd w:fill="FAF7FA" w:val="clear"/>
            <w:tcMar>
              <w:top w:type="dxa" w:w="100"/>
              <w:left w:type="dxa" w:w="120"/>
              <w:bottom w:type="dxa" w:w="100"/>
              <w:right w:type="dxa" w:w="120"/>
            </w:tcMar>
            <w:vAlign w:val="center"/>
          </w:tcPr>
          <w:p>
            <w:r>
              <w:rPr>
                <w:b w:val="false"/>
                <w:bCs w:val="false"/>
                <w:color w:val="1A1A1A"/>
                <w:sz w:val="19"/>
                <w:szCs w:val="19"/>
              </w:rPr>
              <w:t xml:space="preserve">XL</w:t>
            </w:r>
          </w:p>
        </w:tc>
        <w:tc>
          <w:tcPr>
            <w:tcW w:type="dxa" w:w="2350"/>
            <w:shd w:fill="FAF7FA" w:val="clear"/>
            <w:tcMar>
              <w:top w:type="dxa" w:w="100"/>
              <w:left w:type="dxa" w:w="120"/>
              <w:bottom w:type="dxa" w:w="100"/>
              <w:right w:type="dxa" w:w="120"/>
            </w:tcMar>
            <w:vAlign w:val="center"/>
          </w:tcPr>
          <w:p>
            <w:r>
              <w:rPr>
                <w:b w:val="false"/>
                <w:bCs w:val="false"/>
                <w:color w:val="1A1A1A"/>
                <w:sz w:val="19"/>
                <w:szCs w:val="19"/>
              </w:rPr>
              <w:t xml:space="preserve">Full 11 gates, plus mandatory Feature-level breakdown (5.1)</w:t>
            </w:r>
          </w:p>
        </w:tc>
        <w:tc>
          <w:tcPr>
            <w:tcW w:type="dxa" w:w="5350"/>
            <w:shd w:fill="FAF7FA" w:val="clear"/>
            <w:tcMar>
              <w:top w:type="dxa" w:w="100"/>
              <w:left w:type="dxa" w:w="120"/>
              <w:bottom w:type="dxa" w:w="100"/>
              <w:right w:type="dxa" w:w="120"/>
            </w:tcMar>
            <w:vAlign w:val="center"/>
          </w:tcPr>
          <w:p>
            <w:r>
              <w:rPr>
                <w:b w:val="false"/>
                <w:bCs w:val="false"/>
                <w:color w:val="1A1A1A"/>
                <w:sz w:val="19"/>
                <w:szCs w:val="19"/>
              </w:rPr>
              <w:t xml:space="preserve">Standard Consultation, Treatment Plans, Finance Analytics</w:t>
            </w:r>
          </w:p>
        </w:tc>
      </w:tr>
    </w:tbl>
    <w:p>
      <w:pPr>
        <w:pStyle w:val="Heading2"/>
        <w:spacing w:after="130" w:before="300"/>
      </w:pPr>
      <w:r>
        <w:t xml:space="preserve">5.6 Cross-Cutting Programs (new — fixes Weakness 5)</w:t>
      </w:r>
    </w:p>
    <w:p>
      <w:pPr>
        <w:spacing w:after="150" w:line="288"/>
      </w:pPr>
      <w:r>
        <w:rPr>
          <w:b w:val="false"/>
          <w:bCs w:val="false"/>
          <w:i w:val="false"/>
          <w:iCs w:val="false"/>
          <w:color w:val="1A1A1A"/>
          <w:sz w:val="21"/>
          <w:szCs w:val="21"/>
        </w:rPr>
        <w:t xml:space="preserve">A Program is a structural sibling to Domain, not a descendant of it — it exists outside the Domain → Module → Child Module tree entirely.</w:t>
      </w:r>
    </w:p>
    <w:p>
      <w:pPr>
        <w:pStyle w:val="ListParagraph"/>
        <w:numPr>
          <w:ilvl w:val="0"/>
          <w:numId w:val="2"/>
        </w:numPr>
        <w:spacing w:after="100" w:line="276"/>
      </w:pPr>
      <w:r>
        <w:rPr>
          <w:b w:val="false"/>
          <w:bCs w:val="false"/>
          <w:color w:val="1A1A1A"/>
          <w:sz w:val="21"/>
          <w:szCs w:val="21"/>
        </w:rPr>
        <w:t xml:space="preserve">Fields: name, driver (e.g. compliance deadline, architecture decision), status, and a many-to-many list of the specific Child Modules it touches.</w:t>
      </w:r>
    </w:p>
    <w:p>
      <w:pPr>
        <w:pStyle w:val="ListParagraph"/>
        <w:numPr>
          <w:ilvl w:val="0"/>
          <w:numId w:val="2"/>
        </w:numPr>
        <w:spacing w:after="100" w:line="276"/>
      </w:pPr>
      <w:r>
        <w:rPr>
          <w:b w:val="false"/>
          <w:bCs w:val="false"/>
          <w:color w:val="1A1A1A"/>
          <w:sz w:val="21"/>
          <w:szCs w:val="21"/>
        </w:rPr>
        <w:t xml:space="preserve">A Program never contributes to, or subtracts from, any single Child Module's or Module's freeze percentage. It is tracked and reported on its own, with its member child modules shown as a cross-reference.</w:t>
      </w:r>
    </w:p>
    <w:p>
      <w:pPr>
        <w:pStyle w:val="ListParagraph"/>
        <w:numPr>
          <w:ilvl w:val="0"/>
          <w:numId w:val="2"/>
        </w:numPr>
        <w:spacing w:after="100" w:line="276"/>
      </w:pPr>
      <w:r>
        <w:rPr>
          <w:b w:val="false"/>
          <w:bCs w:val="false"/>
          <w:color w:val="1A1A1A"/>
          <w:sz w:val="21"/>
          <w:szCs w:val="21"/>
        </w:rPr>
        <w:t xml:space="preserve">Immediate real candidates from project memory: Multi-Tenant / clinic_id Isolation, DPDP Full-Lifecycle Compliance (deadline 13 May 2027), Mobile ↔ Web Parity, API Authorization Mirror.</w:t>
      </w:r>
    </w:p>
    <w:p>
      <w:r>
        <w:br w:type="page"/>
      </w:r>
    </w:p>
    <w:p>
      <w:pPr>
        <w:pStyle w:val="Heading1"/>
        <w:spacing w:after="170" w:before="420"/>
      </w:pPr>
      <w:r>
        <w:t xml:space="preserve">6. Dashboard Redesign Principles</w:t>
      </w:r>
    </w:p>
    <w:p>
      <w:pPr>
        <w:spacing w:after="220" w:line="300"/>
      </w:pPr>
      <w:r>
        <w:rPr>
          <w:i/>
          <w:iCs/>
          <w:color w:val="6B6470"/>
          <w:sz w:val="22"/>
          <w:szCs w:val="22"/>
        </w:rPr>
        <w:t xml:space="preserve">Principles only, to guide the next build phase — no interface code in this document.</w:t>
      </w:r>
    </w:p>
    <w:p>
      <w:pPr>
        <w:pStyle w:val="Heading2"/>
        <w:spacing w:after="130" w:before="300"/>
      </w:pPr>
      <w:r>
        <w:t xml:space="preserve">6.1 Primary navigation unit changes from Module to Child Module</w:t>
      </w:r>
    </w:p>
    <w:p>
      <w:pPr>
        <w:pStyle w:val="ListParagraph"/>
        <w:numPr>
          <w:ilvl w:val="0"/>
          <w:numId w:val="2"/>
        </w:numPr>
        <w:spacing w:after="100" w:line="276"/>
      </w:pPr>
      <w:r>
        <w:rPr>
          <w:b w:val="false"/>
          <w:bCs w:val="false"/>
          <w:color w:val="1A1A1A"/>
          <w:sz w:val="21"/>
          <w:szCs w:val="21"/>
        </w:rPr>
        <w:t xml:space="preserve">Sidebar Module row becomes a collapsed group header only: name, derived status badge, "X/Y Frozen," weighted %. It is no longer clickable into its own checklist, because it no longer has one.</w:t>
      </w:r>
    </w:p>
    <w:p>
      <w:pPr>
        <w:pStyle w:val="ListParagraph"/>
        <w:numPr>
          <w:ilvl w:val="0"/>
          <w:numId w:val="2"/>
        </w:numPr>
        <w:spacing w:after="100" w:line="276"/>
      </w:pPr>
      <w:r>
        <w:rPr>
          <w:b w:val="false"/>
          <w:bCs w:val="false"/>
          <w:color w:val="1A1A1A"/>
          <w:sz w:val="21"/>
          <w:szCs w:val="21"/>
        </w:rPr>
        <w:t xml:space="preserve">Child Module rows are the clickable, checklist-bearing unit — exactly where the detail panel currently lives for every node today, now reserved for children only.</w:t>
      </w:r>
    </w:p>
    <w:p>
      <w:pPr>
        <w:pStyle w:val="Heading2"/>
        <w:spacing w:after="130" w:before="300"/>
      </w:pPr>
      <w:r>
        <w:t xml:space="preserve">6.2 Child Module detail view — fields to add to the existing panel</w:t>
      </w:r>
    </w:p>
    <w:p>
      <w:pPr>
        <w:pStyle w:val="ListParagraph"/>
        <w:numPr>
          <w:ilvl w:val="0"/>
          <w:numId w:val="2"/>
        </w:numPr>
        <w:spacing w:after="100" w:line="276"/>
      </w:pPr>
      <w:r>
        <w:rPr>
          <w:b w:val="false"/>
          <w:bCs w:val="false"/>
          <w:color w:val="1A1A1A"/>
          <w:sz w:val="21"/>
          <w:szCs w:val="21"/>
        </w:rPr>
        <w:t xml:space="preserve">Size Tier badge (S/M/L/XL), driving which checklist variant renders.</w:t>
      </w:r>
    </w:p>
    <w:p>
      <w:pPr>
        <w:pStyle w:val="ListParagraph"/>
        <w:numPr>
          <w:ilvl w:val="0"/>
          <w:numId w:val="2"/>
        </w:numPr>
        <w:spacing w:after="100" w:line="276"/>
      </w:pPr>
      <w:r>
        <w:rPr>
          <w:b w:val="false"/>
          <w:bCs w:val="false"/>
          <w:color w:val="1A1A1A"/>
          <w:sz w:val="21"/>
          <w:szCs w:val="21"/>
        </w:rPr>
        <w:t xml:space="preserve">Owner — a person's name or an AI agent identifier, shown prominently, not buried in meta text.</w:t>
      </w:r>
    </w:p>
    <w:p>
      <w:pPr>
        <w:pStyle w:val="ListParagraph"/>
        <w:numPr>
          <w:ilvl w:val="0"/>
          <w:numId w:val="2"/>
        </w:numPr>
        <w:spacing w:after="100" w:line="276"/>
      </w:pPr>
      <w:r>
        <w:rPr>
          <w:b w:val="false"/>
          <w:bCs w:val="false"/>
          <w:color w:val="1A1A1A"/>
          <w:sz w:val="21"/>
          <w:szCs w:val="21"/>
        </w:rPr>
        <w:t xml:space="preserve">Dependencies — rendered as clickable links to other Child Modules, not prose, so the dependency graph is actually navigable.</w:t>
      </w:r>
    </w:p>
    <w:p>
      <w:pPr>
        <w:pStyle w:val="ListParagraph"/>
        <w:numPr>
          <w:ilvl w:val="0"/>
          <w:numId w:val="2"/>
        </w:numPr>
        <w:spacing w:after="100" w:line="276"/>
      </w:pPr>
      <w:r>
        <w:rPr>
          <w:b w:val="false"/>
          <w:bCs w:val="false"/>
          <w:color w:val="1A1A1A"/>
          <w:sz w:val="21"/>
          <w:szCs w:val="21"/>
        </w:rPr>
        <w:t xml:space="preserve">Shared Foundation banner — inherited read-only from the parent Module; if the Shared Foundation isn't yet Frozen, the child's checklist is visibly locked with a "Blocked: Shared Foundation not yet Frozen" banner, matching the rule in 5.2.</w:t>
      </w:r>
    </w:p>
    <w:p>
      <w:pPr>
        <w:pStyle w:val="ListParagraph"/>
        <w:numPr>
          <w:ilvl w:val="0"/>
          <w:numId w:val="2"/>
        </w:numPr>
        <w:spacing w:after="100" w:line="276"/>
      </w:pPr>
      <w:r>
        <w:rPr>
          <w:b w:val="false"/>
          <w:bCs w:val="false"/>
          <w:color w:val="1A1A1A"/>
          <w:sz w:val="21"/>
          <w:szCs w:val="21"/>
        </w:rPr>
        <w:t xml:space="preserve">Freeze-Amendment history — visible log of any post-freeze touches, with reason code and date, per 5.4.</w:t>
      </w:r>
    </w:p>
    <w:p>
      <w:pPr>
        <w:pStyle w:val="Heading2"/>
        <w:spacing w:after="130" w:before="300"/>
      </w:pPr>
      <w:r>
        <w:t xml:space="preserve">6.3 New view: Assignment Board</w:t>
      </w:r>
    </w:p>
    <w:p>
      <w:pPr>
        <w:spacing w:after="150" w:line="288"/>
      </w:pPr>
      <w:r>
        <w:rPr>
          <w:b w:val="false"/>
          <w:bCs w:val="false"/>
          <w:i w:val="false"/>
          <w:iCs w:val="false"/>
          <w:color w:val="1A1A1A"/>
          <w:sz w:val="21"/>
          <w:szCs w:val="21"/>
        </w:rPr>
        <w:t xml:space="preserve">A flat list of every Child Module grouped by Owner instead of by Domain — "what is Engineer A working on across the whole product" as a first-class view, not something reconstructed by hand. This is the view that makes "Engineer A → Minor Visit, Engineer B → COHA, Engineer C → Emergency, Engineer D → Printing" (your own example) directly answerable without re-deriving it from the domain tree.</w:t>
      </w:r>
    </w:p>
    <w:p>
      <w:pPr>
        <w:pStyle w:val="Heading2"/>
        <w:spacing w:after="130" w:before="300"/>
      </w:pPr>
      <w:r>
        <w:t xml:space="preserve">6.4 New view: Cross-Cutting Programs panel</w:t>
      </w:r>
    </w:p>
    <w:p>
      <w:pPr>
        <w:spacing w:after="150" w:line="288"/>
      </w:pPr>
      <w:r>
        <w:rPr>
          <w:b w:val="false"/>
          <w:bCs w:val="false"/>
          <w:i w:val="false"/>
          <w:iCs w:val="false"/>
          <w:color w:val="1A1A1A"/>
          <w:sz w:val="21"/>
          <w:szCs w:val="21"/>
        </w:rPr>
        <w:t xml:space="preserve">Separate top-level panel, not nested inside any Domain, listing each Program with its linked Child Modules — so multi-tenant hardening, DPDP compliance, and mobile parity finally have an honest place to live, per 5.6.</w:t>
      </w:r>
    </w:p>
    <w:p>
      <w:pPr>
        <w:pStyle w:val="Heading2"/>
        <w:spacing w:after="130" w:before="300"/>
      </w:pPr>
      <w:r>
        <w:t xml:space="preserve">6.5 Overview cards — recalculated</w:t>
      </w:r>
    </w:p>
    <w:p>
      <w:pPr>
        <w:spacing w:after="150" w:line="288"/>
      </w:pPr>
      <w:r>
        <w:rPr>
          <w:b w:val="false"/>
          <w:bCs w:val="false"/>
          <w:i w:val="false"/>
          <w:iCs w:val="false"/>
          <w:color w:val="1A1A1A"/>
          <w:sz w:val="21"/>
          <w:szCs w:val="21"/>
        </w:rPr>
        <w:t xml:space="preserve">The four summary cards at the top of the dashboard (Production ready / In progress / Not started / Modules tracked) should count Child Modules only, never Modules — Modules are containers and have no independent state to count. Out of Scope / Future children are shown as a fifth, distinct card rather than folded into "Not started," since the two mean very different things to a reader.</w:t>
      </w:r>
    </w:p>
    <w:p>
      <w:r>
        <w:br w:type="page"/>
      </w:r>
    </w:p>
    <w:p>
      <w:pPr>
        <w:pStyle w:val="Heading1"/>
        <w:spacing w:after="170" w:before="420"/>
      </w:pPr>
      <w:r>
        <w:t xml:space="preserve">7. Migration Path From the Current Register</w:t>
      </w:r>
    </w:p>
    <w:p>
      <w:pPr>
        <w:spacing w:after="150" w:line="288"/>
      </w:pPr>
      <w:r>
        <w:rPr>
          <w:b w:val="false"/>
          <w:bCs w:val="false"/>
          <w:i w:val="false"/>
          <w:iCs w:val="false"/>
          <w:color w:val="1A1A1A"/>
          <w:sz w:val="21"/>
          <w:szCs w:val="21"/>
        </w:rPr>
        <w:t xml:space="preserve">The current file is a reasonable starting point, not a rewrite target — most of the 90 existing nodes map cleanly onto the new schema.</w:t>
      </w:r>
    </w:p>
    <w:p>
      <w:pPr>
        <w:pStyle w:val="ListParagraph"/>
        <w:numPr>
          <w:ilvl w:val="0"/>
          <w:numId w:val="3"/>
        </w:numPr>
        <w:spacing w:after="100" w:line="276"/>
      </w:pPr>
      <w:r>
        <w:rPr>
          <w:color w:val="1A1A1A"/>
          <w:sz w:val="21"/>
          <w:szCs w:val="21"/>
        </w:rPr>
        <w:t xml:space="preserve">Reclassify every existing node with parent:null as a Module. Strip its independent checklist; its status becomes fully derived per 5.3.</w:t>
      </w:r>
    </w:p>
    <w:p>
      <w:pPr>
        <w:pStyle w:val="ListParagraph"/>
        <w:numPr>
          <w:ilvl w:val="0"/>
          <w:numId w:val="3"/>
        </w:numPr>
        <w:spacing w:after="100" w:line="276"/>
      </w:pPr>
      <w:r>
        <w:rPr>
          <w:color w:val="1A1A1A"/>
          <w:sz w:val="21"/>
          <w:szCs w:val="21"/>
        </w:rPr>
        <w:t xml:space="preserve">Reclassify every existing node with a parent as a Child Module. Keep its checklist state (no data lost), and add the new required fields: Size Tier, Owner, Dependencies, Status (5.4), and Checklist Variant (5.5).</w:t>
      </w:r>
    </w:p>
    <w:p>
      <w:pPr>
        <w:pStyle w:val="ListParagraph"/>
        <w:numPr>
          <w:ilvl w:val="0"/>
          <w:numId w:val="3"/>
        </w:numPr>
        <w:spacing w:after="100" w:line="276"/>
      </w:pPr>
      <w:r>
        <w:rPr>
          <w:color w:val="1A1A1A"/>
          <w:sz w:val="21"/>
          <w:szCs w:val="21"/>
        </w:rPr>
        <w:t xml:space="preserve">Audit the modules that currently have zero children — Tasks, Practice Protocols, Daily Huddle, Reports, Notifications, Help, HQ Superadmin Console, AI Assistant "Tulip." For each, decide explicitly: either it is genuinely a single-child domain (Module and Child Module collapse to one entity, e.g. "Help"), or it needs real decomposition into actual children before this model applies — following the existing project rule against inventing structure that doesn't reflect real, audited scope.</w:t>
      </w:r>
    </w:p>
    <w:p>
      <w:pPr>
        <w:pStyle w:val="ListParagraph"/>
        <w:numPr>
          <w:ilvl w:val="0"/>
          <w:numId w:val="3"/>
        </w:numPr>
        <w:spacing w:after="100" w:line="276"/>
      </w:pPr>
      <w:r>
        <w:rPr>
          <w:color w:val="1A1A1A"/>
          <w:sz w:val="21"/>
          <w:szCs w:val="21"/>
        </w:rPr>
        <w:t xml:space="preserve">Declare a Shared Foundation for every Module with more than one child, and set its current status honestly (most are already "In Progress" or de facto "Frozen" since the modules have been live for months).</w:t>
      </w:r>
    </w:p>
    <w:p>
      <w:pPr>
        <w:pStyle w:val="ListParagraph"/>
        <w:numPr>
          <w:ilvl w:val="0"/>
          <w:numId w:val="3"/>
        </w:numPr>
        <w:spacing w:after="100" w:line="276"/>
      </w:pPr>
      <w:r>
        <w:rPr>
          <w:color w:val="1A1A1A"/>
          <w:sz w:val="21"/>
          <w:szCs w:val="21"/>
        </w:rPr>
        <w:t xml:space="preserve">Assign Size Tiers to all existing children using the tab-count and known-blocker-count already present in the register as a first-pass signal (a child with 8+ tabs or 5+ known blockers defaults to L/XL pending review).</w:t>
      </w:r>
    </w:p>
    <w:p>
      <w:pPr>
        <w:pStyle w:val="ListParagraph"/>
        <w:numPr>
          <w:ilvl w:val="0"/>
          <w:numId w:val="3"/>
        </w:numPr>
        <w:spacing w:after="100" w:line="276"/>
      </w:pPr>
      <w:r>
        <w:rPr>
          <w:color w:val="1A1A1A"/>
          <w:sz w:val="21"/>
          <w:szCs w:val="21"/>
        </w:rPr>
        <w:t xml:space="preserve">Mark known future-only scope explicitly Out of Scope / Future — starting with Voice Consultation and AI Consultation under Consultations, and anything already flagged "parked" or "V1.5/V2/V3" elsewhere in the register (Marketing GBP/Meta connect, WhatsApp two-way messaging, Analytics feature flags).</w:t>
      </w:r>
    </w:p>
    <w:p>
      <w:pPr>
        <w:spacing w:after="150" w:line="288"/>
      </w:pPr>
      <w:r>
        <w:rPr>
          <w:b w:val="false"/>
          <w:bCs w:val="false"/>
          <w:i w:val="false"/>
          <w:iCs w:val="false"/>
          <w:color w:val="1A1A1A"/>
          <w:sz w:val="21"/>
          <w:szCs w:val="21"/>
        </w:rPr>
        <w:t xml:space="preserve">This migration is mechanical for steps 1–2 and requires deliberate judgment for steps 3–6 — it should not be automated blindly, because steps 3 and 6 are exactly where the current register already shows signs of being built faster than it was audited.</w:t>
      </w:r>
    </w:p>
    <w:p>
      <w:pPr>
        <w:pStyle w:val="Heading1"/>
        <w:spacing w:after="170" w:before="420"/>
      </w:pPr>
      <w:r>
        <w:t xml:space="preserve">8. Recommended Next Step</w:t>
      </w:r>
    </w:p>
    <w:p>
      <w:pPr>
        <w:spacing w:after="150" w:line="288"/>
      </w:pPr>
      <w:r>
        <w:rPr>
          <w:b w:val="false"/>
          <w:bCs w:val="false"/>
          <w:i w:val="false"/>
          <w:iCs w:val="false"/>
          <w:color w:val="1A1A1A"/>
          <w:sz w:val="21"/>
          <w:szCs w:val="21"/>
        </w:rPr>
        <w:t xml:space="preserve">This document is the governance layer only, as requested — no schema implementation, no dashboard code. Once the derivation formula (5.3), the Frozen-Amendment reason codes (5.4), and the Size Tier definitions (5.5) are confirmed or amended, the next deliverable is the actual rebuilt Master Module Register and Dashboard implementing this specification exactly — the same two-output pattern (interactive HTML + printable checklist) as the current register, restructured around the Child Module as the true engineering unit.</w:t>
      </w:r>
    </w:p>
    <w:sectPr>
      <w:pgSz w:w="12240" w:h="15840" w:orient="portrait"/>
      <w:pgMar w:top="1180" w:right="1300" w:bottom="11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82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02070" w:sz="8" w:space="6"/>
      </w:pBdr>
      <w:spacing w:after="170" w:before="420"/>
    </w:pPr>
    <w:rPr>
      <w:rFonts w:ascii="Georgia" w:cs="Georgia" w:eastAsia="Georgia" w:hAnsi="Georgia"/>
      <w:b/>
      <w:bCs/>
      <w:color w:val="702070"/>
      <w:sz w:val="32"/>
      <w:szCs w:val="32"/>
    </w:rPr>
  </w:style>
  <w:style w:type="paragraph" w:styleId="Heading2">
    <w:name w:val="Heading 2"/>
    <w:basedOn w:val="Normal"/>
    <w:next w:val="Normal"/>
    <w:qFormat/>
    <w:rPr>
      <w:rFonts w:ascii="Georgia" w:cs="Georgia" w:eastAsia="Georgia" w:hAnsi="Georgia"/>
      <w:b/>
      <w:bCs/>
      <w:color w:val="1A1A1A"/>
      <w:sz w:val="25"/>
      <w:szCs w:val="25"/>
    </w:rPr>
  </w:style>
  <w:style w:type="paragraph" w:styleId="Heading3">
    <w:name w:val="Heading 3"/>
    <w:basedOn w:val="Normal"/>
    <w:next w:val="Normal"/>
    <w:qFormat/>
    <w:rPr>
      <w:rFonts w:ascii="Georgia" w:cs="Georgia" w:eastAsia="Georgia" w:hAnsi="Georgia"/>
      <w:b/>
      <w:bCs/>
      <w:i/>
      <w:iCs/>
      <w:color w:val="6B64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2026-08-02T17:59:43.297Z</dcterms:created>
  <dcterms:modified xsi:type="dcterms:W3CDTF">2026-08-02T17:59:43.297Z</dcterms:modified>
</cp:coreProperties>
</file>

<file path=docProps/custom.xml><?xml version="1.0" encoding="utf-8"?>
<Properties xmlns="http://schemas.openxmlformats.org/officeDocument/2006/custom-properties" xmlns:vt="http://schemas.openxmlformats.org/officeDocument/2006/docPropsVTypes"/>
</file>